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line="240"/>
        <w:jc w:val="left"/>
      </w:pPr>
      <w:r>
        <w:rPr>
          <w:sz w:val="22"/>
          <w:szCs w:val="22"/>
          <w:rFonts w:ascii="Arial" w:cs="Arial" w:eastAsia="Arial" w:hAnsi="Arial"/>
        </w:rPr>
      </w:r>
    </w:p>
    <w:p>
      <w:pPr>
        <w:pBdr>
          <w:top w:val="none" w:color="1B2B4B" w:sz="0"/>
          <w:bottom w:val="none" w:color="1B2B4B" w:sz="0"/>
          <w:left w:val="none" w:color="1B2B4B" w:sz="0"/>
          <w:right w:val="none" w:color="1B2B4B" w:sz="0"/>
        </w:pBdr>
        <w:shd w:fill="1B2B4B" w:val="clear"/>
        <w:spacing w:after="0"/>
        <w:jc w:val="left"/>
      </w:pPr>
      <w:r>
        <w:rPr>
          <w:b/>
          <w:bCs/>
          <w:color w:val="FFFFFF"/>
          <w:sz w:val="26"/>
          <w:szCs w:val="26"/>
          <w:rFonts w:ascii="Arial" w:cs="Arial" w:eastAsia="Arial" w:hAnsi="Arial"/>
        </w:rPr>
        <w:t xml:space="preserve">PERFIL DE INTELIGÊNCIA — TOMADOR DE DECISÃO</w:t>
      </w:r>
    </w:p>
    <w:p>
      <w:pPr>
        <w:pBdr>
          <w:bottom w:val="single" w:color="F7941D" w:sz="24" w:space="1"/>
        </w:pBdr>
        <w:shd w:fill="1B2B4B" w:val="clear"/>
        <w:spacing w:after="500"/>
        <w:jc w:val="left"/>
      </w:pPr>
      <w:r>
        <w:rPr>
          <w:sz w:val="4"/>
          <w:szCs w:val="4"/>
          <w:rFonts w:ascii="Arial" w:cs="Arial" w:eastAsia="Arial" w:hAnsi="Arial"/>
        </w:rPr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7538"/>
      </w:tblGrid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40"/>
            </w:tcMar>
          </w:tcPr>
          <w:p>
            <w:pPr>
              <w:spacing w:after="100" w:line="260"/>
              <w:jc w:val="left"/>
            </w:pPr>
            <w:r>
              <w:rPr>
                <w:b/>
                <w:bCs/>
                <w:sz w:val="22"/>
                <w:szCs w:val="22"/>
                <w:rFonts w:ascii="Arial" w:cs="Arial" w:eastAsia="Arial" w:hAnsi="Arial"/>
              </w:rPr>
              <w:t xml:space="preserve">Name:</w:t>
            </w:r>
          </w:p>
        </w:tc>
        <w:tc>
          <w:tcPr>
            <w:tcW w:type="dxa" w:w="75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100" w:line="260"/>
              <w:jc w:val="left"/>
            </w:pPr>
            <w:r>
              <w:rPr>
                <w:sz w:val="22"/>
                <w:szCs w:val="22"/>
                <w:rFonts w:ascii="Arial" w:cs="Arial" w:eastAsia="Arial" w:hAnsi="Arial"/>
              </w:rPr>
              <w:t xml:space="preserve">Alexandre Silveira de Oliveira</w:t>
            </w:r>
          </w:p>
        </w:tc>
      </w:tr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40"/>
            </w:tcMar>
          </w:tcPr>
          <w:p>
            <w:pPr>
              <w:spacing w:after="100" w:line="260"/>
              <w:jc w:val="left"/>
            </w:pPr>
            <w:r>
              <w:rPr>
                <w:b/>
                <w:bCs/>
                <w:sz w:val="22"/>
                <w:szCs w:val="22"/>
                <w:rFonts w:ascii="Arial" w:cs="Arial" w:eastAsia="Arial" w:hAnsi="Arial"/>
              </w:rPr>
              <w:t xml:space="preserve">Role:</w:t>
            </w:r>
          </w:p>
        </w:tc>
        <w:tc>
          <w:tcPr>
            <w:tcW w:type="dxa" w:w="75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100" w:line="260"/>
              <w:jc w:val="left"/>
            </w:pPr>
            <w:r>
              <w:rPr>
                <w:sz w:val="22"/>
                <w:szCs w:val="22"/>
                <w:rFonts w:ascii="Arial" w:cs="Arial" w:eastAsia="Arial" w:hAnsi="Arial"/>
              </w:rPr>
              <w:t xml:space="preserve">Ministro de Estado de Minas e Energia</w:t>
            </w:r>
          </w:p>
        </w:tc>
      </w:tr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40"/>
            </w:tcMar>
          </w:tcPr>
          <w:p>
            <w:pPr>
              <w:spacing w:after="100" w:line="260"/>
              <w:jc w:val="left"/>
            </w:pPr>
            <w:r>
              <w:rPr>
                <w:b/>
                <w:bCs/>
                <w:sz w:val="22"/>
                <w:szCs w:val="22"/>
                <w:rFonts w:ascii="Arial" w:cs="Arial" w:eastAsia="Arial" w:hAnsi="Arial"/>
              </w:rPr>
              <w:t xml:space="preserve">Jurisdiction:</w:t>
            </w:r>
          </w:p>
        </w:tc>
        <w:tc>
          <w:tcPr>
            <w:tcW w:type="dxa" w:w="75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100" w:line="260"/>
              <w:jc w:val="left"/>
            </w:pPr>
            <w:r>
              <w:rPr>
                <w:sz w:val="22"/>
                <w:szCs w:val="22"/>
                <w:rFonts w:ascii="Arial" w:cs="Arial" w:eastAsia="Arial" w:hAnsi="Arial"/>
              </w:rPr>
              <w:t xml:space="preserve">Brasil (Federal)</w:t>
            </w:r>
          </w:p>
        </w:tc>
      </w:tr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40"/>
            </w:tcMar>
          </w:tcPr>
          <w:p>
            <w:pPr>
              <w:spacing w:after="100" w:line="260"/>
              <w:jc w:val="left"/>
            </w:pPr>
            <w:r>
              <w:rPr>
                <w:b/>
                <w:bCs/>
                <w:sz w:val="22"/>
                <w:szCs w:val="22"/>
                <w:rFonts w:ascii="Arial" w:cs="Arial" w:eastAsia="Arial" w:hAnsi="Arial"/>
              </w:rPr>
              <w:t xml:space="preserve">Policy objective:</w:t>
            </w:r>
          </w:p>
        </w:tc>
        <w:tc>
          <w:tcPr>
            <w:tcW w:type="dxa" w:w="75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100" w:line="260"/>
              <w:jc w:val="left"/>
            </w:pPr>
            <w:r>
              <w:rPr>
                <w:sz w:val="22"/>
                <w:szCs w:val="22"/>
                <w:rFonts w:ascii="Arial" w:cs="Arial" w:eastAsia="Arial" w:hAnsi="Arial"/>
              </w:rPr>
              <w:t xml:space="preserve">Marco regulatório federal para hidrogênio verde</w:t>
            </w:r>
          </w:p>
        </w:tc>
      </w:tr>
      <w:tr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40"/>
            </w:tcMar>
          </w:tcPr>
          <w:p>
            <w:pPr>
              <w:spacing w:after="100" w:line="260"/>
              <w:jc w:val="left"/>
            </w:pPr>
            <w:r>
              <w:rPr>
                <w:b/>
                <w:bCs/>
                <w:sz w:val="22"/>
                <w:szCs w:val="22"/>
                <w:rFonts w:ascii="Arial" w:cs="Arial" w:eastAsia="Arial" w:hAnsi="Arial"/>
              </w:rPr>
              <w:t xml:space="preserve">Issued:</w:t>
            </w:r>
          </w:p>
        </w:tc>
        <w:tc>
          <w:tcPr>
            <w:tcW w:type="dxa" w:w="75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100" w:line="260"/>
              <w:jc w:val="left"/>
            </w:pPr>
            <w:r>
              <w:rPr>
                <w:sz w:val="22"/>
                <w:szCs w:val="22"/>
                <w:rFonts w:ascii="Arial" w:cs="Arial" w:eastAsia="Arial" w:hAnsi="Arial"/>
              </w:rPr>
              <w:t xml:space="preserve">Abril 2026</w:t>
            </w:r>
          </w:p>
        </w:tc>
      </w:tr>
    </w:tbl>
    <w:p>
      <w:pPr>
        <w:spacing w:after="160" w:line="240"/>
        <w:jc w:val="left"/>
      </w:pPr>
      <w:r>
        <w:rPr>
          <w:sz w:val="22"/>
          <w:szCs w:val="22"/>
          <w:rFonts w:ascii="Arial" w:cs="Arial" w:eastAsia="Arial" w:hAnsi="Arial"/>
        </w:rPr>
      </w:r>
    </w:p>
    <w:p>
      <w:pPr>
        <w:pBdr>
          <w:bottom w:val="single" w:color="D0D0D0" w:sz="6" w:space="2"/>
        </w:pBdr>
        <w:spacing w:after="200"/>
        <w:jc w:val="left"/>
      </w:pPr>
      <w:r>
        <w:rPr>
          <w:sz w:val="22"/>
          <w:szCs w:val="22"/>
          <w:rFonts w:ascii="Arial" w:cs="Arial" w:eastAsia="Arial" w:hAnsi="Arial"/>
        </w:rPr>
      </w:r>
    </w:p>
    <w:p>
      <w:pPr>
        <w:jc w:val="left"/>
      </w:pPr>
      <w:r>
        <w:br w:type="page"/>
      </w:r>
    </w:p>
    <w:p>
      <w:pPr>
        <w:sectPr>
          <w:pgSz w:w="11906" w:h="16838" w:orient="portrait"/>
          <w:pgMar w:top="1080" w:right="1080" w:bottom="1080" w:left="1080" w:header="708" w:footer="708" w:gutter="0"/>
          <w:pgNumType/>
          <w:docGrid w:linePitch="360"/>
        </w:sectPr>
      </w:pP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BACKGROUND &amp; CARREIRA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Alexandre Silveira de Oliveira (nascido em 15 de julho de 1970) é ex-delegado de polícia, empresário e político brasileiro, filiado ao Partido Social Democrático (PSD). É bacharel em Direito pela Fundação Educacional Monsenhor Messias (Faculdade de Direito de Sete Lagoas), graduado em 1994, e também possui formação técnica em Contabilidade pelo Colégio AEC em Belo Horizonte. Nascido em Belo Horizonte, fez toda a educação básica em escolas públicas e tornou-se delegado da Polícia Civil de Minas Gerais em 1997. Em 2003, foi Coordenador-Geral da 6ª Unidade de Infraestrutura Terrestre do DNIT e, entre 2004 e 2005, foi Diretor-Geral do Departamento Nacional de Infraestrutura de Transportes (DNIT). Foi o servidor mais jovem a ocupar, até então, o cargo de diretor-geral do DNIT, com apenas 32 anos. Foi deputado federal por dois mandatos, eleito nos anos de 2006 e 2010, entre os cinco mais bem votados do Estado de Minas Gerais. Foi Secretário de Estado de Gestão Metropolitana (2011 a 2013) e Secretário de Saúde em Minas Gerais em 2014. Em fevereiro de 2022, tomou posse como Senador da República; em 2 de janeiro de 2023, assumiu o comando do Ministério de Minas e Energia. Consolidou-se como o mais poderoso integrante não-petista da Esplanada, com uma ascensão ligada ao estreito alinhamento com os planos do Presidente Lula para a área de energia. É presidente do PSD de Minas Gerais e secretário-geral nacional do partido.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MEMBROS DA EQUIPE E POSIÇÕES INSTITUCIONAIS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Os principais secretários nomeados por Silveira no MME foram: Gentil Nogueira (Secretaria de Energia Elétrica), Pietro Mendes (Secretaria de Petróleo, Gás Natural e Biocombustíveis) e Thiago Barral (Secretaria de Planejamento e Transição Energética). Thiago Barral deixou a Secretaria para integrar a coordenação da COP30 como representante do governo nos assuntos de energia, com aval do ministro Silveira. Silveira preside o Conselho Nacional de Política Energética (CNPE) e coordena o Comitê Gestor do Programa Nacional do Hidrogênio (Coges-PNH2). Como ex-deputado federal, foi presidente da Comissão de Segurança Pública e Combate ao Crime Organizado, membro efetivo da Comissão de Constituição e Justiça e da Comissão de Integração Nacional e Desenvolvimento Regional.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POSIÇÕES DECLARADAS &amp; REGISTRO PÚBLICO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Lançamento da primeira molécula de H2V em escala — Pecém/CE (jan. 2023)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Silveira participou do lançamento da primeira molécula de hidrogênio verde em grande escala na América Latina, produzida pela EDP Brasil no Complexo do Pecém, Ceará, com investimento de R$ 42 milhões. Declarou que o MME desenvolveria uma política energética ambiciosa para a economia do hidrogênio, com foco no aprimoramento dos marcos legais, redução de barreiras aos investimentos para mercado doméstico e exportação, e afirmou: "Não perderemos essa janela de oportunidade."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Fonte: MME — Lançamento planta H2V Pecém — jan. 2023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Inauguração do Centro de Hidrogênio Verde — UNIFEI/MG (set. 2023)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O ministro disse que o Brasil pretende ser protagonista no atual processo de transição energética e destacou a importância das instituições de ensino superior públicas na condução de pesquisas, reconhecendo que a UNIFEI aparece como uma das principais envolvidas em estudos sobre descarbonização. Afirmou que a cooperação internacional — no caso Brasil-Alemanha — é exemplo do que se pode alcançar, e que "Esse Centro de Hidrogênio Verde, aqui na UNIFEI, vai ajudar a expandir o mercado de hidrogênio verde no país."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Fonte: Agência Gov — Inauguração CH2V — set. 2023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Visita à usina de Puertollano (Iberdrola) na Espanha — garantia de investimentos (jun. 2024)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Silveira garantiu R$ 30 milhões para P&amp;D pioneiro de uma planta de H2V em Brasília junto à Iberdrola, e afirmou: "O hidrogênio vai ser um grande diferencial para o país de desenvolver e se destacar nessa produção." Complementou: "Com os investimentos em hidrogênio verde, associados aos investimentos das linhas de transmissão, já conseguimos garantir junto à Neoenergia mais de R$ 25 bilhões investidos."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Fonte: MME — Investimentos H2V na Espanha — jun. 2024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Sanção do Marco Legal do Hidrogênio — Pecém/CE (ago. 2024)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Silveira declarou que o Brasil tem mais de R$ 200 bilhões em projetos de hidrogênio verde anunciados dentro do Programa Nacional do Hidrogênio (PNH2). Explicou que a estratégia associa hidrogênio verde à produção de fertilizantes nitrogenados — "As plantas de hidrogênio vão fortalecer o setor de fertilizantes e reduzir a nossa dependência de importação" — e que "Esse conjunto de políticas vai nos entregar um Brasil mais moderno e consolidar nossa liderança na transição energética global."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Fonte: Agência Brasil — Sanção marco legal H2V — ago. 2024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Fórum Econômico Mundial, Davos (jan. 2025)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Silveira destacou que o país está preparado para receber investimentos, principalmente a partir dos marcos legais aprovados — leis do Hidrogênio, Eólicas Offshore e Combustível do Futuro. Defendeu haver um ambiente favorável para aplicação de recursos em energia renovável no Brasil. Reuniu-se com Bill Gates, além de líderes da IEA, da Comissão Europeia e da África do Sul.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Fonte: MME — Fórum Econômico Mundial — jan.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Reunião com Governador do Ceará sobre Hub H2V do Pecém (jan. 2025)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Silveira se reuniu com o governador Elmano de Freitas para garantir condições de fornecimento de energia para os projetos de H2V no Ceará, que têm estimativa de investimentos de US$ 24 bilhões e expectativa de geração de 80 mil novos postos de trabalho. O Ceará possui mais de 35 memorandos de entendimento assinados, seis pré-contratos no Complexo do Pecém, e estimativa de construir até 10,4 GW de capacidade de H2V até 2034.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Fonte: Governo do Ceará — Reunião Silveira/Elmano — jan.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COP30, Belém — Decreto regulamentador e lançamento de livro (nov. 2025)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Silveira anunciou o decreto que regulamenta as Leis nº 14.948/2024 e nº 14.990/2024, consolidando diretrizes para o desenvolvimento do hidrogênio de baixa emissão de carbono, como uma das entregas do MME durante a COP30. Declarou: "O Brasil avança com segurança jurídica, inovação e visão estratégica. O hidrogênio de baixa emissão de carbono será uma das grandes alavancas da nossa transição energética e da reindustrialização sustentável." Lançou o livro "Brazil, World Leader in Energy Transition" e afirmou querer "destacar as oportunidades para atração de investimentos internacionais em biocombustíveis, minerais estratégicos, baterias, eólicas, solares e leilões de energia."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Fonte: MME — COP30 Livro e decreto — nov.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Reunião com Envision Energy na China (abr. 2025)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Em reunião na China, Silveira discutiu oportunidades em hidrogênio verde, amônia verde, armazenamento de energia e turbinas de grande porte, destacando que "a cooperação entre o Brasil e a China tem se mostrado estratégica para o desenvolvimento de soluções inovadoras no setor energético."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Fonte: MME — Agendas na China — abr.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REGISTRO LEGISLATIVO &amp; REGULATÓRIO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Lei nº 14.948/2024 (Marco Legal do Hidrogênio de Baixa Emissão de Carbono) — Sancionada em 2 de agosto de 2024. Institui o Marco Legal do Hidrogênio de Baixa Emissão de Carbono no Brasil, representando um avanço significativo na transição energética. Estabelece diretrizes para produção, transporte e uso do hidrogênio verde, institui certificação voluntária e o Regime Especial de Incentivos (Rehidro), com suspensão de PIS/Pasep e Cofins por 5 anos a partir de 2025. Prevê concessão de crédito fiscal para produtores ou compradores de hidrogênio de baixo carbono de 2028 a 2032. Institui o Sistema Brasileiro de Certificação do Hidrogênio (SBCH2). A autorização para produção cabe à ANP. O MME coordenou todo o processo legislativo. — Fonte: Planalto — Lei 14.948/2024 | Câmara — PL 2308/2023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Decreto regulamentador (nov. 2025, COP30) — O MME anunciou o decreto que regulamenta o PNH2, o PHBC e o Rehidro. O memorando de entendimento com os Países Baixos prevê fortalecimento da colaboração no Fórum Internacional de Comércio de Hidrogênio. — Fonte: MME — Memorando Países Baixos na COP30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Programa Nacional do Hidrogênio (PNH2) — Plano Trienal 2023–2025 — Estabeleceu metas: disseminar plantas piloto de H2V em todas as regiões até 2025; consolidar o Brasil como o mais competitivo produtor mundial até 2030; e consolidar hubs de H2V até 2035. Na COP28, o Brasil assinou declaração para reconhecimento mútuo de esquemas de certificação e declaração para comércio internacional de hidrogênio. — Fonte: Agência Gov — PNH2 — dez. 2023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Fórum Econômico Mundial — Reunião sobre Transição Energética (jun. 2025) — Silveira coorganizou com o WEF a 1ª Cúpula de Planejamento Energético e o lançamento da Coalizão Global para o Planejamento Energético (GCEP), iniciativa resultante da presidência brasileira do G20. — Fonte: MME — Reunião WEF — mai.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AVALIAÇÃO DE POSTURA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◉ POSTURA GERAL: FORTEMENTE A FAVOR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Alexandre Silveira é, possivelmente, o membro mais ativo e vocal do governo Lula no tema de hidrogênio verde. A avaliação se sustenta em múltiplos pilares: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Primeiro, o ministro liderou pessoalmente o processo legislativo e regulatório que culminou na Lei nº 14.948/2024 e seu decreto regulamentador, mencionando o hidrogênio como prioridade em praticamente todas as aparições internacionais — de Davos à COP30, passando por Espanha, China e múltiplos fóruns bilaterais. Sua retórica consistente coloca o Brasil como futuro "líder mundial" da economia do hidrogênio, com especial ênfase na vantagem competitiva da região Nordeste (ventos, sol, infraestrutura portuária do Pecém).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Segundo, a ação vai além do discurso. O MME contabiliza R$ 212 bilhões em investimentos protocolados em projetos de hidrogênio. As primeiras decisões finais de investimento (FIDs) em H2V no Brasil são esperadas para 2026, com cerca de R$ 63 bilhões no radar, sendo que garantias regulatórias e de demanda são os dois pontos fundamentais para a viabilidade. Silveira reuniu-se pessoalmente com o governador do Ceará para equacionar o gargalo de fornecimento de energia para o Hub do Pecém — um sinal claro de que entende e se compromete com os desafios operacionais.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Terceiro, há um interesse político pessoal convergente. Silveira desperta curiosidade sobre suas ambições políticas, que já incluem o governo de Minas Gerais. O sucesso na atração de investimentos internacionais e na consolidação do Brasil como hub de H2V fortaleceria significativamente seu legado ministerial e suas ambições futuras. Isso alinha incentivos: o ministro tem todas as razões, tanto de política pública quanto de política pessoal, para ser um aliado ativo de qualquer proposta que viabilize exportação certificada e investimento estrangeiro direto na cadeia de H2V do Nordeste.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Pontos de cautela: Silveira defende simultaneamente a exploração de petróleo na Margem Equatorial, demonstrando uma visão pragmática (não ideológica) de transição energética. Investidores puramente "verdes" devem estar cientes dessa dualidade, embora ela não represente risco direto à agenda de H2V — ao contrário, ele a utiliza como argumento de que o petróleo financia a transição.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RECOMENDAÇÃO ESTRATÉGICA DE ENGAJAMENTO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Tipo de argumento mais eficaz: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Econômico-desenvolvimentista + Competitividade Internacional. Silveira é um político pragmático com perfil executivo, não um tecnocrata acadêmico. Sua formação é jurídica e policial, não energética — o que significa que ele responde melhor a argumentos sobre investimento, emprego, competitividade e posicionamento geopolítico do Brasil do que a argumentos puramente técnicos ou ambientais. A narrativa que mais ressoará é a de que o marco regulatório robusto para exportação certificada de H2V é a chave para converter os R$ 200+ bilhões em projetos anunciados em decisões finais de investimento concretas — e que o Brasil perderá a janela para Austrália, Chile e países do Golfo se não agir com velocidade.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Mensagens-chave que ressoarão: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"O arcabouço regulatório já está 80% pronto — falta a ponte para o mercado internacional." Valorize o trabalho feito (Lei 14.948, Rehidro, SBCH2, decreto de nov. 2025) e posicione a proposta como o próximo passo natural, não como uma crítica ao que foi feito.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"Contratos certificados de compra destravam os FIDs." Garantias regulatórias e de demanda são os dois pontos fundamentais para viabilidade dos investimentos. Mostre que investidores estrangeiros precisam de contratos de offtake certificados para tomar a decisão final, e que a regulamentação de exportação é o gatilho.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"80 mil empregos no Nordeste e US$ 24 bilhões dependem de segurança jurídica para exportação." Use os números do próprio governo — a reunião Silveira/Elmano de janeiro 2025 já quantificou o impacto. O ministro é sensível ao impacto social e à narrativa de inclusão.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"Reconhecimento mútuo de certificação com a UE e os Países Baixos já foi comprometido." Silveira assinou acordos nessa direção na COP28 e COP30. Demonstre que a regulamentação de exportação certificada é necessária para dar consequência a esses compromissos.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O que evitar: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Não adote tom de crítica ao governo ou ao ritmo das reformas. Silveira é leal ao Presidente Lula e sensível a qualquer percepção de que o governo está atrasado. Enquadre a proposta como aceleração, não como correção.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Não entre em debates ambientais radicais anti-petróleo. Silveira defende simultaneamente petróleo e renováveis. Posicionar-se contra a exploração fóssil gerará resistência.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Não subestime a dimensão social. Silveira e Lula enquadram toda a agenda de transição energética como "justa e inclusiva". Propostas que pareçam beneficiar apenas capital estrangeiro sem retorno local serão recebidas com ceticismo.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Evite abordagens excessivamente técnicas sem tradução em impacto econômico concreto. O ministro prioriza números de investimento, emprego e competitividade.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Melhor timing e formato: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Timing ideal: 2026 é o ano decisivo. Projeções indicam que 2026 será decisivo, com as primeiras decisões finais de investimento em sete projetos de hidrogênio verde totalizando R$ 63 bilhões. O decreto regulamentador publicado na COP30 abriu a fase de implementação — este é exatamente o momento para propor detalhamento regulatório de exportação.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Formato: Reunião presencial de alto nível em Brasília (sede do MME, Esplanada dos Ministérios). O ministro privilegia encontros com CEOs e lideranças setoriais — conforme demonstrado em Davos, na China e na Espanha. Uma carta de apresentação prévia ao gabinete, seguida de pedido formal de audiência.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Eventos estratégicos: Se houver cúpulas bilaterais ou multilaterais de energia (como a Reunião WEF sobre Transição Energética que o MME coorganizou em junho 2025), esses são fóruns ideais para side-meetings.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▸ Aliados potenciais que podem influenciá-lo: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Governador Elmano de Freitas (PT-CE): Aliado direto de Silveira no tema H2V do Nordeste, interlocutor frequente sobre o Hub do Pecém. Envolvê-lo amplifica a pressão positiva.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Presidente Lula: Silveira é extremamente leal a Lula e sensível às prioridades presidenciais. Se o tema for levado ao Presidente em contexto de atração de investimento estrangeiro, Silveira será proativo.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Pietro Mendes (Secretário de Petróleo, Gás Natural e Biocombustíveis do MME): Interlocutor técnico para assuntos de regulação pela ANP.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Associação Brasileira da Indústria do Hidrogênio (ABIHV): A ABIHV, cuja diretora executiva Fernanda Delgado declarou que o marco legal "é a pedra fundamental para os investimentos em grande escala", é interlocutora ativa do setor.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Complexo do Pecém / Max Quintino (Presidente): Parceiro operacional direto; tem posicionado "o Ceará como um líder global na produção de combustíveis limpos."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Rodrigo Pacheco (ex-presidente do Senado, PSD-MG): Aliado político próximo de Silveira, articulador legislativo no Senado.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Fortescue Brasil (Luis Viga, Presidente): A Fortescue foi a primeira empresa a obter licença prévia do governo estadual no Pecém e possui projeto de US$ 5 bilhões — um dos maiores investidores estrangeiros no setor, com acesso direto ao ministro.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Governadores do Nordeste (Piauí, Pernambuco, Rio Grande do Norte): Aliados naturais para ampliar a base de apoio regional ao marco de exportação.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CONTATO &amp; COMUNICAÇÃO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Endereço oficial: Ministério de Minas e Energia — Esplanada dos Ministérios, Bloco U, 5º ao 9º andar — CEP 70065-900 — Brasília/DF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Assessoria Especial de Comunicação Social — MME: Telefone: (61) 2032-5759/5620 | E-mail: imprensa@mme.gov.br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Página oficial do Ministro: gov.br/mme — Gabinete do Ministro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Agenda pública: e-Agendas — Sistema Eletrônico de Agendas do Poder Executivo Federal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Instagram: @alexandresilveiramg — 83 mil seguidores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LinkedIn: Alexandre Silveira — Ministro de Minas e Energia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Twitter/X: @alexandresilveiramg (conforme bio oficial do MME)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Equipe-chave identificada: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Efrain Pereira da Cruz — Secretário-Executivo do MME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Pietro Mendes — Secretário Nacional de Petróleo, Gás Natural e Biocombustíveis (interlocutor ANP/regulação)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Gentil Nogueira de Sá Junior — Secretário de Energia Elétrica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Gustavo Ataíde — Secretário Nacional de Transição Energética e Planejamento (substituto de Thiago Barral)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Melhor canal para primeiro contato: Carta formal endereçada ao Gabinete do Ministro (protocolo institucional), com cópia para a Assessoria Especial de Comunicação Social (imprensa@mme.gov.br) e para a secretaria técnica competente (Pietro Mendes ou Gustavo Ataíde). Para empresas estrangeiras com projetos protocolados no Pecém, o acesso é facilitado via Complexo do Pecém e/ou ABIHV como intermediários.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FONTES CONSULTADAS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MME — Biografia oficial Alexandre Silveira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Wikipedia — Alexandre Silveira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Câmara dos Deputados — Biografia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Brasil Energia — Quem é Quem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Gazeta do Povo — Perfil político — mai. 2024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ADEPOL-MG — Posse como Senador — fev. 2022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Diário do Aço — Nomeação como Ministro — dez. 2022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MME — Planta H2V Pecém — jan. 2023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Agência Gov — Centro H2V UNIFEI — set. 2023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Agência Gov — PNH2 — dez. 2023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MME — Investimentos Iberdrola/Neoenergia — jun. 2024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Agência Brasil — Sanção marco legal H2V — ago. 2024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Câmara — PL 2308/2023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Planalto — Lei 14.948/2024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Governo do Ceará — Reunião Silveira/Elmano sobre H2V — jan.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MME — Fórum Econômico Mundial Davos — jan.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Eixos — FIDs de H2V em 2026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MME — Decreto regulamentador COP30 — nov.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MME — COP30 livro e hotsite — nov.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MME — Memorando Países Baixos COP30 — nov.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MME — Agendas na China — abr.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MME — Reunião WEF Transição Energética — mai. 2025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Guofu HEE — Ceará H2V e data centers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Movimento Econômico — Pecém projeta novo ciclo bilionário — fev. 2026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LinkedIn — Alexandre Silveira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Instagram — @alexandresilveiramg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⚠️ RELATÓRIO GERADO POR INTELIGÊNCIA ARTIFICIAL — AVISO</w:t>
      </w:r>
    </w:p>
    <w:p>
      <w:pPr>
        <w:spacing w:after="140" w:line="276"/>
        <w:jc w:val="left"/>
      </w:pPr>
      <w:r>
        <w:rPr>
          <w:sz w:val="22"/>
          <w:szCs w:val="22"/>
          <w:rFonts w:ascii="Arial" w:cs="Arial" w:eastAsia="Arial" w:hAnsi="Arial"/>
        </w:rPr>
        <w:t xml:space="preserve">Este perfil foi produzido por inteligência artificial utilizando dados de busca na web em tempo real. Destina-se exclusivamente como ferramenta de pesquisa. Todas as informações devem ser verificadas de forma independente antes de uso em contextos profissionais, de advocacy ou consultoria.</w:t>
      </w:r>
    </w:p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0D0" w:sz="6" w:space="4"/>
      </w:pBdr>
      <w:jc w:val="right"/>
    </w:pPr>
    <w:r>
      <w:rPr>
        <w:color w:val="888888"/>
        <w:sz w:val="18"/>
        <w:szCs w:val="18"/>
        <w:rFonts w:ascii="Arial" w:cs="Arial" w:eastAsia="Arial" w:hAnsi="Arial"/>
      </w:rPr>
      <w:t xml:space="preserve">Page </w:t>
    </w:r>
    <w:r>
      <w:rPr>
        <w:color w:val="888888"/>
        <w:sz w:val="18"/>
        <w:szCs w:val="18"/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  <w:rFonts w:ascii="Arial" w:cs="Arial" w:eastAsia="Arial" w:hAnsi="Arial"/>
      </w:rPr>
      <w:t xml:space="preserve"> of </w:t>
    </w:r>
    <w:r>
      <w:rPr>
        <w:color w:val="888888"/>
        <w:sz w:val="18"/>
        <w:szCs w:val="18"/>
        <w:rFonts w:ascii="Arial" w:cs="Arial" w:eastAsia="Arial" w:hAnsi="Arial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0D0D0" w:sz="6" w:space="4"/>
      </w:pBdr>
      <w:spacing w:after="0"/>
      <w:jc w:val="left"/>
    </w:pPr>
    <w:r>
      <w:rPr>
        <w:color w:val="888888"/>
        <w:sz w:val="18"/>
        <w:szCs w:val="18"/>
        <w:rFonts w:ascii="Arial" w:cs="Arial" w:eastAsia="Arial" w:hAnsi="Arial"/>
      </w:rPr>
      <w:t xml:space="preserve">Alexandre Silveira de Oliveira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Arial" w:cs="Arial" w:eastAsia="Arial" w:hAnsi="Arial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ListParagraph">
    <w:name w:val="List Paragraph"/>
    <w:basedOn w:val="Normal"/>
    <w:next w:val="Normal"/>
    <w:qFormat/>
    <w:pPr>
      <w:ind w:left="0" w:right="0"/>
      <w:jc w:val="left"/>
    </w:pPr>
    <w:rPr>
      <w:sz w:val="22"/>
      <w:szCs w:val="22"/>
      <w:rFonts w:ascii="Arial" w:cs="Arial" w:eastAsia="Arial" w:hAnsi="Arial"/>
    </w:rPr>
  </w:style>
  <w:style w:type="paragraph" w:styleId="Heading1">
    <w:name w:val="Heading 1"/>
    <w:basedOn w:val="Normal"/>
    <w:next w:val="Normal"/>
    <w:qFormat/>
    <w:pPr>
      <w:spacing w:before="300" w:after="160"/>
      <w:jc w:val="left"/>
      <w:outlineLvl w:val="0"/>
    </w:pPr>
    <w:rPr>
      <w:b/>
      <w:bCs/>
      <w:color w:val="1B2B4B"/>
      <w:sz w:val="36"/>
      <w:szCs w:val="36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200" w:after="100"/>
      <w:jc w:val="left"/>
      <w:outlineLvl w:val="1"/>
    </w:pPr>
    <w:rPr>
      <w:b/>
      <w:bCs/>
      <w:color w:val="1B2B4B"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160" w:after="80"/>
      <w:jc w:val="left"/>
      <w:outlineLvl w:val="2"/>
    </w:pPr>
    <w:rPr>
      <w:b/>
      <w:bCs/>
      <w:color w:val="1B2B4B"/>
      <w:sz w:val="23"/>
      <w:szCs w:val="23"/>
      <w:rFonts w:ascii="Arial" w:cs="Arial" w:eastAsia="Arial" w:hAnsi="Arial"/>
    </w:rPr>
  </w:style>
  <w:style w:type="paragraph" w:styleId="Normal">
    <w:name w:val="Normal"/>
    <w:pPr>
      <w:jc w:val="left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2026-04-20T15:24:56.803Z</dcterms:created>
  <dcterms:modified xsi:type="dcterms:W3CDTF">2026-04-20T15:24:56.803Z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