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38CB" w14:textId="77777777" w:rsidR="003B3352" w:rsidRDefault="003B3352">
      <w:pPr>
        <w:spacing w:after="400"/>
      </w:pPr>
    </w:p>
    <w:p w14:paraId="545EA3E1" w14:textId="77777777" w:rsidR="003B3352" w:rsidRDefault="00000000">
      <w:pPr>
        <w:pBdr>
          <w:top w:val="none" w:sz="0" w:space="0" w:color="1B2B4B"/>
          <w:left w:val="none" w:sz="0" w:space="0" w:color="1B2B4B"/>
          <w:bottom w:val="none" w:sz="0" w:space="0" w:color="1B2B4B"/>
          <w:right w:val="none" w:sz="0" w:space="0" w:color="1B2B4B"/>
        </w:pBdr>
        <w:shd w:val="clear" w:color="auto" w:fill="1B2B4B"/>
      </w:pPr>
      <w:r>
        <w:rPr>
          <w:b/>
          <w:bCs/>
          <w:color w:val="FFFFFF"/>
          <w:sz w:val="28"/>
          <w:szCs w:val="28"/>
        </w:rPr>
        <w:t>POSITION PAPER</w:t>
      </w:r>
    </w:p>
    <w:p w14:paraId="34B70229" w14:textId="77777777" w:rsidR="007F30BB" w:rsidRDefault="007F30BB" w:rsidP="007F30BB">
      <w:pPr>
        <w:pStyle w:val="Heading2"/>
      </w:pPr>
      <w:r>
        <w:t>Hardware-Enforced Privacy as a Compliance Standard: Securing Workable Definitions and Safe Harbor Recognition in Federal Data Privacy Legislation</w:t>
      </w:r>
    </w:p>
    <w:p w14:paraId="6BDAC17F" w14:textId="77777777" w:rsidR="007F30BB" w:rsidRDefault="007F30BB" w:rsidP="007F30BB">
      <w:pPr>
        <w:spacing w:after="140" w:line="276" w:lineRule="auto"/>
      </w:pPr>
      <w:r>
        <w:rPr>
          <w:b/>
          <w:bCs/>
        </w:rPr>
        <w:t>Submitted by:</w:t>
      </w:r>
      <w:r>
        <w:t xml:space="preserve"> [Company Name]</w:t>
      </w:r>
    </w:p>
    <w:p w14:paraId="423E26D6" w14:textId="77777777" w:rsidR="007F30BB" w:rsidRDefault="007F30BB" w:rsidP="007F30BB">
      <w:pPr>
        <w:spacing w:after="140" w:line="276" w:lineRule="auto"/>
      </w:pPr>
      <w:r>
        <w:rPr>
          <w:b/>
          <w:bCs/>
        </w:rPr>
        <w:t>Addressed to:</w:t>
      </w:r>
      <w:r>
        <w:t xml:space="preserve"> The Honorable Brett Guthrie, Chairman, House Committee on Energy and Commerce, and the Data Privacy Working Group, 119th Congress</w:t>
      </w:r>
    </w:p>
    <w:p w14:paraId="6564C9C4" w14:textId="77777777" w:rsidR="007F30BB" w:rsidRDefault="007F30BB" w:rsidP="007F30BB">
      <w:pPr>
        <w:spacing w:after="140" w:line="276" w:lineRule="auto"/>
      </w:pPr>
      <w:r>
        <w:rPr>
          <w:b/>
          <w:bCs/>
        </w:rPr>
        <w:t>Date:</w:t>
      </w:r>
      <w:r>
        <w:t xml:space="preserve"> April 2026</w:t>
      </w:r>
    </w:p>
    <w:p w14:paraId="6F96B014" w14:textId="77777777" w:rsidR="007F30BB" w:rsidRDefault="007F30BB" w:rsidP="007F30BB">
      <w:pPr>
        <w:spacing w:after="140" w:line="276" w:lineRule="auto"/>
      </w:pPr>
      <w:r>
        <w:rPr>
          <w:b/>
          <w:bCs/>
        </w:rPr>
        <w:t>Status:</w:t>
      </w:r>
      <w:r>
        <w:t xml:space="preserve"> For Submission — Confidential</w:t>
      </w:r>
    </w:p>
    <w:p w14:paraId="3A96A2B4" w14:textId="77777777" w:rsidR="003B3352" w:rsidRDefault="003B3352">
      <w:pPr>
        <w:sectPr w:rsidR="003B3352">
          <w:pgSz w:w="11906" w:h="16838"/>
          <w:pgMar w:top="1080" w:right="1080" w:bottom="1080" w:left="1080" w:header="708" w:footer="708" w:gutter="0"/>
          <w:cols w:space="720"/>
          <w:docGrid w:linePitch="360"/>
        </w:sectPr>
      </w:pPr>
    </w:p>
    <w:p w14:paraId="3FECA596" w14:textId="77777777" w:rsidR="003B3352" w:rsidRDefault="003B3352">
      <w:pPr>
        <w:pBdr>
          <w:bottom w:val="single" w:sz="4" w:space="2" w:color="D0D0D0"/>
        </w:pBdr>
        <w:spacing w:after="100"/>
      </w:pPr>
    </w:p>
    <w:p w14:paraId="71C78F54" w14:textId="77777777" w:rsidR="003B3352" w:rsidRDefault="003B3352">
      <w:pPr>
        <w:pBdr>
          <w:bottom w:val="single" w:sz="4" w:space="2" w:color="D0D0D0"/>
        </w:pBdr>
        <w:spacing w:after="100"/>
      </w:pPr>
    </w:p>
    <w:p w14:paraId="0FD28D51" w14:textId="77777777" w:rsidR="003B3352" w:rsidRDefault="00000000">
      <w:pPr>
        <w:pStyle w:val="Heading2"/>
      </w:pPr>
      <w:r>
        <w:t>1. EXECUTIVE SUMMARY</w:t>
      </w:r>
    </w:p>
    <w:p w14:paraId="1B842363" w14:textId="77777777" w:rsidR="003B3352" w:rsidRDefault="00000000">
      <w:pPr>
        <w:spacing w:after="140" w:line="276" w:lineRule="auto"/>
      </w:pPr>
      <w:r>
        <w:t>The United States has no federal data privacy law. Twenty states have enacted comprehensive privacy regulations, each with different standards for what data collection is "necessary." With eight states rolling out new privacy laws in 2025 and many more already on the books, businesses have never faced a more fragmented regulatory landscape, expanding consumer rights, imposing stricter data governance obligations, and creating a complex compliance environment for businesses operating across state lines.</w:t>
      </w:r>
    </w:p>
    <w:p w14:paraId="374E40F7" w14:textId="77777777" w:rsidR="003B3352" w:rsidRDefault="00000000">
      <w:pPr>
        <w:spacing w:after="140" w:line="276" w:lineRule="auto"/>
      </w:pPr>
      <w:r>
        <w:t>The federal bill currently being drafted by the House Energy and Commerce Committee's Data Privacy Working Group has the authority to end this fragmentation and establish a single national standard. However, the most consequential term in any such legislation — "necessary" — remains undefined. The definition chosen will determine the outer boundary of permissible data processing for every American company handling personal data.</w:t>
      </w:r>
    </w:p>
    <w:p w14:paraId="501F1FD1" w14:textId="77777777" w:rsidR="003B3352" w:rsidRDefault="00000000">
      <w:pPr>
        <w:spacing w:after="140" w:line="276" w:lineRule="auto"/>
      </w:pPr>
      <w:r>
        <w:t>Simultaneously, the semiconductor industry has invested billions of dollars to build privacy protections directly into hardware — through trusted execution environments, secure enclaves, on-device processing, and hardware-rooted data isolation. These technologies are the most structurally rigorous form of data minimization available: they ensure personal data is processed locally, never transmitted externally, and can be automatically purged. Yet no privacy framework, federal or state, recognizes these hardware-level controls as a valid compliance mechanism.</w:t>
      </w:r>
    </w:p>
    <w:p w14:paraId="551477D5" w14:textId="77777777" w:rsidR="003B3352" w:rsidRDefault="00000000">
      <w:pPr>
        <w:spacing w:after="140" w:line="276" w:lineRule="auto"/>
      </w:pPr>
      <w:r>
        <w:t>This paper makes two specific recommendations to the Working Group:</w:t>
      </w:r>
    </w:p>
    <w:p w14:paraId="0D45F73B" w14:textId="77777777" w:rsidR="003B3352" w:rsidRDefault="00000000">
      <w:pPr>
        <w:pStyle w:val="ListParagraph"/>
        <w:numPr>
          <w:ilvl w:val="0"/>
          <w:numId w:val="2"/>
        </w:numPr>
        <w:spacing w:after="100" w:line="276" w:lineRule="auto"/>
      </w:pPr>
      <w:r>
        <w:rPr>
          <w:b/>
          <w:bCs/>
        </w:rPr>
        <w:t>Define "necessary" in statute</w:t>
      </w:r>
      <w:r>
        <w:t xml:space="preserve"> with bounded, enumerated categories — including product functionality, device security, and locally processed operations — to prevent ambiguity from being resolved through unpredictable enforcement or litigation.</w:t>
      </w:r>
    </w:p>
    <w:p w14:paraId="502A4589" w14:textId="77777777" w:rsidR="003B3352" w:rsidRDefault="00000000">
      <w:pPr>
        <w:pStyle w:val="ListParagraph"/>
        <w:numPr>
          <w:ilvl w:val="0"/>
          <w:numId w:val="2"/>
        </w:numPr>
        <w:spacing w:after="100" w:line="276" w:lineRule="auto"/>
      </w:pPr>
      <w:r>
        <w:rPr>
          <w:b/>
          <w:bCs/>
        </w:rPr>
        <w:t>Establish a statutory safe harbor</w:t>
      </w:r>
      <w:r>
        <w:t xml:space="preserve"> for covered entities that implement hardware-enforced privacy controls meeting criteria to be specified by the FTC in consultation with NIST — recognizing that data processed in a secure enclave and never externally transmitted represents the highest form of data minimization.</w:t>
      </w:r>
    </w:p>
    <w:p w14:paraId="00BA6DF8" w14:textId="77777777" w:rsidR="003B3352" w:rsidRDefault="00000000">
      <w:pPr>
        <w:spacing w:after="140" w:line="276" w:lineRule="auto"/>
      </w:pPr>
      <w:r>
        <w:t>These two provisions would strengthen consumer protection, reward American innovation, align with the CHIPS and Science Act's goals of domestic semiconductor leadership, and provide the regulatory certainty that enables a national privacy standard to function.</w:t>
      </w:r>
    </w:p>
    <w:p w14:paraId="0B19645E" w14:textId="77777777" w:rsidR="003B3352" w:rsidRDefault="003B3352">
      <w:pPr>
        <w:pBdr>
          <w:bottom w:val="single" w:sz="4" w:space="2" w:color="D0D0D0"/>
        </w:pBdr>
        <w:spacing w:after="100"/>
      </w:pPr>
    </w:p>
    <w:p w14:paraId="682C1023" w14:textId="77777777" w:rsidR="003B3352" w:rsidRDefault="00000000">
      <w:pPr>
        <w:pStyle w:val="Heading2"/>
      </w:pPr>
      <w:r>
        <w:t>2. BACKGROUND &amp; PROBLEM DEFINITION</w:t>
      </w:r>
    </w:p>
    <w:p w14:paraId="7D73F793" w14:textId="77777777" w:rsidR="003B3352" w:rsidRDefault="00000000">
      <w:pPr>
        <w:pStyle w:val="Heading3"/>
      </w:pPr>
      <w:r>
        <w:t>2.1 Current Regulatory Baseline</w:t>
      </w:r>
    </w:p>
    <w:p w14:paraId="64EDB74A" w14:textId="77777777" w:rsidR="003B3352" w:rsidRDefault="00000000">
      <w:pPr>
        <w:spacing w:after="140" w:line="276" w:lineRule="auto"/>
      </w:pPr>
      <w:r>
        <w:t>The American Privacy Rights Act (APRA, H.R. 8818), introduced in the 118th Congress, expired in January 2025 without receiving a floor vote. The APRA proposed a data minimization standard prohibiting covered entities from collecting, processing, retaining, or transferring covered data unless it was "reasonably necessary and proportionate" to provide a specific product or service requested by a consumer, or for one of fifteen permitted purposes. The bill did not define "necessary."</w:t>
      </w:r>
    </w:p>
    <w:p w14:paraId="0E9D7983" w14:textId="77777777" w:rsidR="003B3352" w:rsidRDefault="00000000">
      <w:pPr>
        <w:spacing w:after="140" w:line="276" w:lineRule="auto"/>
      </w:pPr>
      <w:r>
        <w:t>In February 2025, Chairman Guthrie and Vice Chairman Joyce announced the formation of a bipartisan working group and issued a formal Request for Information. The working group is the third attempt by the House Energy and Commerce Committee to produce comprehensive federal privacy legislation in three successive congressional terms.</w:t>
      </w:r>
    </w:p>
    <w:p w14:paraId="4A4B5215" w14:textId="77777777" w:rsidR="003B3352" w:rsidRDefault="00000000">
      <w:pPr>
        <w:spacing w:after="140" w:line="276" w:lineRule="auto"/>
      </w:pPr>
      <w:r>
        <w:lastRenderedPageBreak/>
        <w:t>At the state level, nineteen states have enacted comprehensive privacy laws as of mid-2025, with applicability thresholds ranging from zero consumers in Texas and Nebraska to 175,000 in Tennessee. Maryland's approach to data minimization aligns more closely with unenacted federal law proposals, and while Maryland is the only comprehensive state privacy law to adopt a substantive data minimization approach, proposals in Vermont and Maine that came close to enactment this year contained similar language.</w:t>
      </w:r>
    </w:p>
    <w:p w14:paraId="4698D202" w14:textId="77777777" w:rsidR="003B3352" w:rsidRDefault="00000000">
      <w:pPr>
        <w:spacing w:after="140" w:line="276" w:lineRule="auto"/>
      </w:pPr>
      <w:r>
        <w:t>State privacy laws have traditionally incorporated the principle of data minimization by prohibiting data processing beyond what is reasonably necessary to accomplish the purposes that are disclosed to a user. Consumer advocates have long objected to this approach, arguing that it incentivizes companies to bury broad disclosures in dense privacy notices, resulting in little, if any, heightened protection.</w:t>
      </w:r>
    </w:p>
    <w:p w14:paraId="6FBD8385" w14:textId="77777777" w:rsidR="003B3352" w:rsidRDefault="00000000">
      <w:pPr>
        <w:spacing w:after="140" w:line="276" w:lineRule="auto"/>
      </w:pPr>
      <w:r>
        <w:t>At the federal regulatory level, the FTC's Commercial Surveillance Rulemaking has been paused under FTC Chair Andrew Ferguson, leaving a regulatory vacuum. NIST's Privacy Framework 1.0 references hardware-level controls as a governance tool, and the NIST Privacy Framework is a voluntary tool developed in collaboration with stakeholders intended to help organizations identify and manage privacy risk, but it confers no legal safe harbor.</w:t>
      </w:r>
    </w:p>
    <w:p w14:paraId="546B7BA1" w14:textId="77777777" w:rsidR="003B3352" w:rsidRDefault="00000000">
      <w:pPr>
        <w:pStyle w:val="Heading3"/>
      </w:pPr>
      <w:r>
        <w:t>2.2 The Definition Gap: What "Necessary" Means — or Does Not Mean</w:t>
      </w:r>
    </w:p>
    <w:p w14:paraId="3A72A223" w14:textId="77777777" w:rsidR="003B3352" w:rsidRDefault="00000000">
      <w:pPr>
        <w:spacing w:after="140" w:line="276" w:lineRule="auto"/>
      </w:pPr>
      <w:r>
        <w:t>The word "necessary" is the hinge on which the entire data minimization framework turns. Statutory requirements vary in subtle but consequential ways, including whether new minimization standards apply to the collection or the processing of data, whether they limit data processing to what is "reasonably" necessary, "strictly" necessary, or just plain "necessary" to provide a requested product or service, and whether they are subordinate to other bases for using personal data.</w:t>
      </w:r>
    </w:p>
    <w:p w14:paraId="5AC2D99A" w14:textId="77777777" w:rsidR="003B3352" w:rsidRDefault="00000000">
      <w:pPr>
        <w:spacing w:after="140" w:line="276" w:lineRule="auto"/>
      </w:pPr>
      <w:r>
        <w:t>Consider the following, yet unanswered, questions about "necessity" data minimization standards: if personal data satisfies a "necessity" standard that focuses solely on collection, can it then be processed for an unnecessary secondary purpose following initial ingestion? What data collection is "reasonably" necessary to offer a requested product or service but would not be "strictly" necessary? Practically, what is the difference between these two standards?</w:t>
      </w:r>
    </w:p>
    <w:p w14:paraId="0022CE54" w14:textId="77777777" w:rsidR="003B3352" w:rsidRDefault="00000000">
      <w:pPr>
        <w:spacing w:after="140" w:line="276" w:lineRule="auto"/>
      </w:pPr>
      <w:r>
        <w:t>For a semiconductor company, these ambiguities are existential. Semiconductor products process data at the hardware level for purposes that include device functionality, security operations, power management, sensor calibration, and user-requested AI inference. If "necessary" is interpreted narrowly to mean only the minimum data required to deliver the immediate consumer-facing feature, then entire categories of legitimate on-chip data processing could be deemed non-compliant — not because they violate privacy, but because the statute failed to account for how silicon works.</w:t>
      </w:r>
    </w:p>
    <w:p w14:paraId="525216C6" w14:textId="77777777" w:rsidR="003B3352" w:rsidRDefault="00000000">
      <w:pPr>
        <w:pStyle w:val="Heading3"/>
      </w:pPr>
      <w:r>
        <w:t>2.3 The Hardware Recognition Gap</w:t>
      </w:r>
    </w:p>
    <w:p w14:paraId="324094DB" w14:textId="77777777" w:rsidR="003B3352" w:rsidRDefault="00000000">
      <w:pPr>
        <w:spacing w:after="140" w:line="276" w:lineRule="auto"/>
      </w:pPr>
      <w:r>
        <w:t>No existing or proposed U.S. privacy law — federal or state — recognizes hardware-enforced privacy controls as a compliance mechanism. This is a structural failure in the regulatory architecture.</w:t>
      </w:r>
    </w:p>
    <w:p w14:paraId="729B5F23" w14:textId="77777777" w:rsidR="003B3352" w:rsidRDefault="00000000">
      <w:pPr>
        <w:spacing w:after="140" w:line="276" w:lineRule="auto"/>
      </w:pPr>
      <w:r>
        <w:t>The physical platform represents the first layer for any layered security approach and provides the initial protections to help ensure that higher-layer security controls can be trusted. NIST IR 8320 explains hardware-enabled security techniques and technologies that can improve platform security and data protection for cloud data centers and edge computing.</w:t>
      </w:r>
    </w:p>
    <w:p w14:paraId="4D9DA9CA" w14:textId="77777777" w:rsidR="003B3352" w:rsidRDefault="00000000">
      <w:pPr>
        <w:spacing w:after="140" w:line="276" w:lineRule="auto"/>
      </w:pPr>
      <w:r>
        <w:t xml:space="preserve">A trusted execution environment (TEE) — a processor-protected enclave — represents the most structurally rigorous form of data minimization available. A TEE is an area or enclave protected by a system processor. Sensitive secrets like cryptographic keys, authentication strings, or data with privacy concerns can be preserved within a TEE, and operations involving these secrets can be performed within the TEE, thereby eliminating the need to extract the secrets outside of the TEE. A </w:t>
      </w:r>
      <w:r>
        <w:lastRenderedPageBreak/>
        <w:t>TEE also helps ensure that operations performed within it and the associated data cannot be viewed from outside, not even by privileged software or debuggers. Communication with the TEE is designed to only be possible through designated interfaces, and it is the responsibility of the TEE designer to define these interfaces appropriately. A good TEE interface limits access to the bare minimum required to perform the task.</w:t>
      </w:r>
    </w:p>
    <w:p w14:paraId="34878FC3" w14:textId="77777777" w:rsidR="003B3352" w:rsidRDefault="00000000">
      <w:pPr>
        <w:spacing w:after="140" w:line="276" w:lineRule="auto"/>
      </w:pPr>
      <w:r>
        <w:t>When a semiconductor processes data within a secure enclave — where it is never transmitted, never stored externally, and is automatically purged after the operation — the data has been minimized to zero external exposure. This is not a workaround to privacy obligations; it is the purest implementation of data minimization.</w:t>
      </w:r>
    </w:p>
    <w:p w14:paraId="4FA2FC76" w14:textId="77777777" w:rsidR="003B3352" w:rsidRDefault="00000000">
      <w:pPr>
        <w:pStyle w:val="Heading3"/>
      </w:pPr>
      <w:r>
        <w:t>2.4 Who Is Affected</w:t>
      </w:r>
    </w:p>
    <w:p w14:paraId="3ABC25CA" w14:textId="77777777" w:rsidR="003B3352" w:rsidRDefault="00000000">
      <w:pPr>
        <w:spacing w:after="140" w:line="276" w:lineRule="auto"/>
      </w:pPr>
      <w:r>
        <w:t>The semiconductor industry is fundamental to the American economy. Global semiconductor sales hit $791.7 billion in 2025, an increase of 25.6% compared to 2024. American companies command 50.4% of global chip revenues, totaling $318 billion in 2024. Over 100 semiconductor ecosystem projects across 28 states have been announced, representing more than half-a-trillion dollars in private-sector investment.</w:t>
      </w:r>
    </w:p>
    <w:p w14:paraId="5F0297F0" w14:textId="77777777" w:rsidR="003B3352" w:rsidRDefault="00000000">
      <w:pPr>
        <w:spacing w:after="140" w:line="276" w:lineRule="auto"/>
      </w:pPr>
      <w:r>
        <w:t>Regulatory ambiguity in the definition of "necessary" and the absence of hardware compliance recognition creates uncertainty for chip designers, device manufacturers, OEMs, and every downstream industry that integrates semiconductors into products touching consumer data — from smartphones to automobiles to medical devices to industrial IoT.</w:t>
      </w:r>
    </w:p>
    <w:p w14:paraId="018BBF10" w14:textId="77777777" w:rsidR="003B3352" w:rsidRDefault="003B3352">
      <w:pPr>
        <w:pBdr>
          <w:bottom w:val="single" w:sz="4" w:space="2" w:color="D0D0D0"/>
        </w:pBdr>
        <w:spacing w:after="100"/>
      </w:pPr>
    </w:p>
    <w:p w14:paraId="692D795D" w14:textId="77777777" w:rsidR="003B3352" w:rsidRDefault="00000000">
      <w:pPr>
        <w:pStyle w:val="Heading2"/>
      </w:pPr>
      <w:r>
        <w:t>3. POLICY OBJECTIVES</w:t>
      </w:r>
    </w:p>
    <w:p w14:paraId="1095D99A" w14:textId="77777777" w:rsidR="003B3352" w:rsidRDefault="00000000">
      <w:pPr>
        <w:spacing w:after="140" w:line="276" w:lineRule="auto"/>
      </w:pPr>
      <w:r>
        <w:rPr>
          <w:b/>
          <w:bCs/>
        </w:rPr>
        <w:t>Primary Objective:</w:t>
      </w:r>
      <w:r>
        <w:t xml:space="preserve"> Secure, in the 119th Congress privacy bill text or accompanying committee report, (1) a bounded statutory definition of "necessary" data processing that includes product functionality, device security, and locally processed operations as recognized bases, and (2) a statutory safe harbor for hardware-enforced privacy controls meeting FTC/NIST-specified criteria.</w:t>
      </w:r>
    </w:p>
    <w:p w14:paraId="5FC9AEB4" w14:textId="77777777" w:rsidR="003B3352" w:rsidRDefault="00000000">
      <w:pPr>
        <w:spacing w:before="160" w:after="80"/>
      </w:pPr>
      <w:r>
        <w:rPr>
          <w:b/>
          <w:bCs/>
          <w:color w:val="1B2B4B"/>
          <w:sz w:val="23"/>
          <w:szCs w:val="23"/>
        </w:rPr>
        <w:t>Secondary Objectives:</w:t>
      </w:r>
    </w:p>
    <w:p w14:paraId="57400D59" w14:textId="77777777" w:rsidR="003B3352" w:rsidRDefault="00000000">
      <w:pPr>
        <w:pStyle w:val="ListParagraph"/>
        <w:numPr>
          <w:ilvl w:val="0"/>
          <w:numId w:val="3"/>
        </w:numPr>
        <w:spacing w:after="100" w:line="276" w:lineRule="auto"/>
      </w:pPr>
      <w:r>
        <w:t>Ensure the safe harbor is structured to incentivize innovation in privacy-enhancing hardware, not simply codify existing product designs.</w:t>
      </w:r>
    </w:p>
    <w:p w14:paraId="4F4D06FE" w14:textId="77777777" w:rsidR="003B3352" w:rsidRDefault="00000000">
      <w:pPr>
        <w:pStyle w:val="ListParagraph"/>
        <w:numPr>
          <w:ilvl w:val="0"/>
          <w:numId w:val="3"/>
        </w:numPr>
        <w:spacing w:after="100" w:line="276" w:lineRule="auto"/>
      </w:pPr>
      <w:r>
        <w:t>Ensure the definition of "necessary" is workable across semiconductor product categories (logic, memory, sensors, SoCs) without creating unintended exemptions from consumer protection.</w:t>
      </w:r>
    </w:p>
    <w:p w14:paraId="59121B2F" w14:textId="77777777" w:rsidR="003B3352" w:rsidRDefault="00000000">
      <w:pPr>
        <w:pStyle w:val="ListParagraph"/>
        <w:numPr>
          <w:ilvl w:val="0"/>
          <w:numId w:val="3"/>
        </w:numPr>
        <w:spacing w:after="100" w:line="276" w:lineRule="auto"/>
      </w:pPr>
      <w:r>
        <w:t>Secure alignment between the federal definition and the enforcement posture of the FTC under the new law.</w:t>
      </w:r>
    </w:p>
    <w:p w14:paraId="26A9BCE8" w14:textId="77777777" w:rsidR="003B3352" w:rsidRDefault="003B3352">
      <w:pPr>
        <w:pBdr>
          <w:bottom w:val="single" w:sz="4" w:space="2" w:color="D0D0D0"/>
        </w:pBdr>
        <w:spacing w:after="100"/>
      </w:pPr>
    </w:p>
    <w:p w14:paraId="58C0DA29" w14:textId="77777777" w:rsidR="003B3352" w:rsidRDefault="00000000">
      <w:pPr>
        <w:pStyle w:val="Heading2"/>
      </w:pPr>
      <w:r>
        <w:t>4. INTERNATIONAL COMPARISON</w:t>
      </w:r>
    </w:p>
    <w:p w14:paraId="797E347A" w14:textId="77777777" w:rsidR="003B3352" w:rsidRDefault="00000000">
      <w:pPr>
        <w:spacing w:after="140" w:line="276" w:lineRule="auto"/>
      </w:pPr>
      <w:r>
        <w:t>No jurisdiction has created a hardware-specific privacy safe harbor. However, several have recognized the underlying principles — data protection by design, privacy-enhancing technologies, and on-device processing — in ways that inform the U.S. legislative opportunity.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0"/>
        <w:gridCol w:w="1585"/>
        <w:gridCol w:w="1557"/>
        <w:gridCol w:w="1732"/>
        <w:gridCol w:w="1596"/>
        <w:gridCol w:w="1578"/>
      </w:tblGrid>
      <w:tr w:rsidR="003B3352" w14:paraId="5D9A6864" w14:textId="77777777">
        <w:tblPrEx>
          <w:tblCellMar>
            <w:top w:w="0" w:type="dxa"/>
            <w:bottom w:w="0" w:type="dxa"/>
          </w:tblCellMar>
        </w:tblPrEx>
        <w:trPr>
          <w:tblHeader/>
        </w:trPr>
        <w:tc>
          <w:tcPr>
            <w:tcW w:w="1606"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9B02780" w14:textId="77777777" w:rsidR="003B3352" w:rsidRDefault="00000000">
            <w:pPr>
              <w:spacing w:line="264" w:lineRule="auto"/>
            </w:pPr>
            <w:r>
              <w:rPr>
                <w:b/>
                <w:bCs/>
                <w:color w:val="FFFFFF"/>
                <w:sz w:val="19"/>
                <w:szCs w:val="19"/>
              </w:rPr>
              <w:t>Jurisdiction</w:t>
            </w:r>
          </w:p>
        </w:tc>
        <w:tc>
          <w:tcPr>
            <w:tcW w:w="1606"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5E84B03" w14:textId="77777777" w:rsidR="003B3352" w:rsidRDefault="00000000">
            <w:pPr>
              <w:spacing w:line="264" w:lineRule="auto"/>
            </w:pPr>
            <w:r>
              <w:rPr>
                <w:b/>
                <w:bCs/>
                <w:color w:val="FFFFFF"/>
                <w:sz w:val="19"/>
                <w:szCs w:val="19"/>
              </w:rPr>
              <w:t>Instrument</w:t>
            </w:r>
          </w:p>
        </w:tc>
        <w:tc>
          <w:tcPr>
            <w:tcW w:w="1606"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6B92B97C" w14:textId="77777777" w:rsidR="003B3352" w:rsidRDefault="00000000">
            <w:pPr>
              <w:spacing w:line="264" w:lineRule="auto"/>
            </w:pPr>
            <w:r>
              <w:rPr>
                <w:b/>
                <w:bCs/>
                <w:color w:val="FFFFFF"/>
                <w:sz w:val="19"/>
                <w:szCs w:val="19"/>
              </w:rPr>
              <w:t>Year</w:t>
            </w:r>
          </w:p>
        </w:tc>
        <w:tc>
          <w:tcPr>
            <w:tcW w:w="1606"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6E2AC93" w14:textId="77777777" w:rsidR="003B3352" w:rsidRDefault="00000000">
            <w:pPr>
              <w:spacing w:line="264" w:lineRule="auto"/>
            </w:pPr>
            <w:r>
              <w:rPr>
                <w:b/>
                <w:bCs/>
                <w:color w:val="FFFFFF"/>
                <w:sz w:val="19"/>
                <w:szCs w:val="19"/>
              </w:rPr>
              <w:t>Mechanism</w:t>
            </w:r>
          </w:p>
        </w:tc>
        <w:tc>
          <w:tcPr>
            <w:tcW w:w="1606"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1037E35" w14:textId="77777777" w:rsidR="003B3352" w:rsidRDefault="00000000">
            <w:pPr>
              <w:spacing w:line="264" w:lineRule="auto"/>
            </w:pPr>
            <w:r>
              <w:rPr>
                <w:b/>
                <w:bCs/>
                <w:color w:val="FFFFFF"/>
                <w:sz w:val="19"/>
                <w:szCs w:val="19"/>
              </w:rPr>
              <w:t>Key Outcome</w:t>
            </w:r>
          </w:p>
        </w:tc>
        <w:tc>
          <w:tcPr>
            <w:tcW w:w="1608"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E0DAC5E" w14:textId="77777777" w:rsidR="003B3352" w:rsidRDefault="00000000">
            <w:pPr>
              <w:spacing w:line="264" w:lineRule="auto"/>
            </w:pPr>
            <w:r>
              <w:rPr>
                <w:b/>
                <w:bCs/>
                <w:color w:val="FFFFFF"/>
                <w:sz w:val="19"/>
                <w:szCs w:val="19"/>
              </w:rPr>
              <w:t>Source</w:t>
            </w:r>
          </w:p>
        </w:tc>
      </w:tr>
      <w:tr w:rsidR="003B3352" w14:paraId="1F7DAFEE"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7A3A0CB" w14:textId="77777777" w:rsidR="003B3352" w:rsidRDefault="00000000">
            <w:pPr>
              <w:spacing w:line="264" w:lineRule="auto"/>
            </w:pPr>
            <w:r>
              <w:rPr>
                <w:b/>
                <w:bCs/>
                <w:sz w:val="19"/>
                <w:szCs w:val="19"/>
              </w:rPr>
              <w:t>European Union</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B5C44C5" w14:textId="77777777" w:rsidR="003B3352" w:rsidRDefault="00000000">
            <w:pPr>
              <w:spacing w:line="264" w:lineRule="auto"/>
            </w:pPr>
            <w:r>
              <w:rPr>
                <w:sz w:val="19"/>
                <w:szCs w:val="19"/>
              </w:rPr>
              <w:t>GDPR Art. 25 (Data Protection by Design)</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DC6F5D0" w14:textId="77777777" w:rsidR="003B3352" w:rsidRDefault="00000000">
            <w:pPr>
              <w:spacing w:line="264" w:lineRule="auto"/>
            </w:pPr>
            <w:r>
              <w:rPr>
                <w:sz w:val="19"/>
                <w:szCs w:val="19"/>
              </w:rPr>
              <w:t>2018</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4D0E18A" w14:textId="77777777" w:rsidR="003B3352" w:rsidRDefault="00000000">
            <w:pPr>
              <w:spacing w:line="264" w:lineRule="auto"/>
            </w:pPr>
            <w:r>
              <w:rPr>
                <w:sz w:val="19"/>
                <w:szCs w:val="19"/>
              </w:rPr>
              <w:t xml:space="preserve">Mandates "appropriate technical and </w:t>
            </w:r>
            <w:proofErr w:type="spellStart"/>
            <w:r>
              <w:rPr>
                <w:sz w:val="19"/>
                <w:szCs w:val="19"/>
              </w:rPr>
              <w:t>organisational</w:t>
            </w:r>
            <w:proofErr w:type="spellEnd"/>
            <w:r>
              <w:rPr>
                <w:sz w:val="19"/>
                <w:szCs w:val="19"/>
              </w:rPr>
              <w:t xml:space="preserve"> </w:t>
            </w:r>
            <w:r>
              <w:rPr>
                <w:sz w:val="19"/>
                <w:szCs w:val="19"/>
              </w:rPr>
              <w:lastRenderedPageBreak/>
              <w:t xml:space="preserve">measures" to implement data </w:t>
            </w:r>
            <w:proofErr w:type="spellStart"/>
            <w:r>
              <w:rPr>
                <w:sz w:val="19"/>
                <w:szCs w:val="19"/>
              </w:rPr>
              <w:t>minimisation</w:t>
            </w:r>
            <w:proofErr w:type="spellEnd"/>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C692EB7" w14:textId="77777777" w:rsidR="003B3352" w:rsidRDefault="00000000">
            <w:pPr>
              <w:spacing w:line="264" w:lineRule="auto"/>
            </w:pPr>
            <w:r>
              <w:rPr>
                <w:sz w:val="19"/>
                <w:szCs w:val="19"/>
              </w:rPr>
              <w:lastRenderedPageBreak/>
              <w:t xml:space="preserve">Establishes principle but does not specify hardware or </w:t>
            </w:r>
            <w:r>
              <w:rPr>
                <w:sz w:val="19"/>
                <w:szCs w:val="19"/>
              </w:rPr>
              <w:lastRenderedPageBreak/>
              <w:t>confer safe harbor</w:t>
            </w:r>
          </w:p>
        </w:tc>
        <w:tc>
          <w:tcPr>
            <w:tcW w:w="1608"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A321C89" w14:textId="77777777" w:rsidR="003B3352" w:rsidRDefault="00000000">
            <w:pPr>
              <w:spacing w:line="264" w:lineRule="auto"/>
            </w:pPr>
            <w:hyperlink r:id="rId7" w:history="1">
              <w:r>
                <w:rPr>
                  <w:color w:val="1155CC"/>
                  <w:sz w:val="19"/>
                  <w:szCs w:val="19"/>
                  <w:u w:val="single" w:color="1155CC"/>
                </w:rPr>
                <w:t>GDPR Art. 25</w:t>
              </w:r>
            </w:hyperlink>
          </w:p>
        </w:tc>
      </w:tr>
      <w:tr w:rsidR="003B3352" w14:paraId="3041B7E0"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3D2F01D" w14:textId="77777777" w:rsidR="003B3352" w:rsidRDefault="00000000">
            <w:pPr>
              <w:spacing w:line="264" w:lineRule="auto"/>
            </w:pPr>
            <w:r>
              <w:rPr>
                <w:b/>
                <w:bCs/>
                <w:sz w:val="19"/>
                <w:szCs w:val="19"/>
              </w:rPr>
              <w:t>European Union</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E525A48" w14:textId="77777777" w:rsidR="003B3352" w:rsidRDefault="00000000">
            <w:pPr>
              <w:spacing w:line="264" w:lineRule="auto"/>
            </w:pPr>
            <w:r>
              <w:rPr>
                <w:sz w:val="19"/>
                <w:szCs w:val="19"/>
              </w:rPr>
              <w:t>EU AI Act, Recital 69</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85E5C83" w14:textId="77777777" w:rsidR="003B3352" w:rsidRDefault="00000000">
            <w:pPr>
              <w:spacing w:line="264" w:lineRule="auto"/>
            </w:pPr>
            <w:r>
              <w:rPr>
                <w:sz w:val="19"/>
                <w:szCs w:val="19"/>
              </w:rPr>
              <w:t>2024</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70FFE0E" w14:textId="77777777" w:rsidR="003B3352" w:rsidRDefault="00000000">
            <w:pPr>
              <w:spacing w:line="264" w:lineRule="auto"/>
            </w:pPr>
            <w:r>
              <w:rPr>
                <w:sz w:val="19"/>
                <w:szCs w:val="19"/>
              </w:rPr>
              <w:t>Expressly recognizes on-device and local processing as data minimization compliance measures</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B9251A7" w14:textId="77777777" w:rsidR="003B3352" w:rsidRDefault="00000000">
            <w:pPr>
              <w:spacing w:line="264" w:lineRule="auto"/>
            </w:pPr>
            <w:r>
              <w:rPr>
                <w:sz w:val="19"/>
                <w:szCs w:val="19"/>
              </w:rPr>
              <w:t>First legislation to explicitly link "bringing algorithms to the data" with data minimization</w:t>
            </w:r>
          </w:p>
        </w:tc>
        <w:tc>
          <w:tcPr>
            <w:tcW w:w="1608"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7534317" w14:textId="77777777" w:rsidR="003B3352" w:rsidRDefault="00000000">
            <w:pPr>
              <w:spacing w:line="264" w:lineRule="auto"/>
            </w:pPr>
            <w:hyperlink r:id="rId8" w:history="1">
              <w:r>
                <w:rPr>
                  <w:color w:val="1155CC"/>
                  <w:sz w:val="19"/>
                  <w:szCs w:val="19"/>
                  <w:u w:val="single" w:color="1155CC"/>
                </w:rPr>
                <w:t>EU AI Act Recital 69</w:t>
              </w:r>
            </w:hyperlink>
          </w:p>
        </w:tc>
      </w:tr>
      <w:tr w:rsidR="003B3352" w14:paraId="06DBD72E"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437E324" w14:textId="77777777" w:rsidR="003B3352" w:rsidRDefault="00000000">
            <w:pPr>
              <w:spacing w:line="264" w:lineRule="auto"/>
            </w:pPr>
            <w:r>
              <w:rPr>
                <w:b/>
                <w:bCs/>
                <w:sz w:val="19"/>
                <w:szCs w:val="19"/>
              </w:rPr>
              <w:t>United Kingdom</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F11C2F4" w14:textId="77777777" w:rsidR="003B3352" w:rsidRDefault="00000000">
            <w:pPr>
              <w:spacing w:line="264" w:lineRule="auto"/>
            </w:pPr>
            <w:r>
              <w:rPr>
                <w:sz w:val="19"/>
                <w:szCs w:val="19"/>
              </w:rPr>
              <w:t>ICO PETs Guidance</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770F38A" w14:textId="77777777" w:rsidR="003B3352" w:rsidRDefault="00000000">
            <w:pPr>
              <w:spacing w:line="264" w:lineRule="auto"/>
            </w:pPr>
            <w:r>
              <w:rPr>
                <w:sz w:val="19"/>
                <w:szCs w:val="19"/>
              </w:rPr>
              <w:t>2023</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33BDA5C" w14:textId="77777777" w:rsidR="003B3352" w:rsidRDefault="00000000">
            <w:pPr>
              <w:spacing w:line="264" w:lineRule="auto"/>
            </w:pPr>
            <w:r>
              <w:rPr>
                <w:sz w:val="19"/>
                <w:szCs w:val="19"/>
              </w:rPr>
              <w:t>Formal regulatory guidance recognizing TEEs as privacy-enhancing technologies</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A34E48B" w14:textId="77777777" w:rsidR="003B3352" w:rsidRDefault="00000000">
            <w:pPr>
              <w:spacing w:line="264" w:lineRule="auto"/>
            </w:pPr>
            <w:r>
              <w:rPr>
                <w:sz w:val="19"/>
                <w:szCs w:val="19"/>
              </w:rPr>
              <w:t>TEEs acknowledged as compliance-relevant tools for data protection</w:t>
            </w:r>
          </w:p>
        </w:tc>
        <w:tc>
          <w:tcPr>
            <w:tcW w:w="1608"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A30A2A2" w14:textId="77777777" w:rsidR="003B3352" w:rsidRDefault="00000000">
            <w:pPr>
              <w:spacing w:line="264" w:lineRule="auto"/>
            </w:pPr>
            <w:hyperlink r:id="rId9" w:history="1">
              <w:r>
                <w:rPr>
                  <w:color w:val="1155CC"/>
                  <w:sz w:val="19"/>
                  <w:szCs w:val="19"/>
                  <w:u w:val="single" w:color="1155CC"/>
                </w:rPr>
                <w:t>ICO PETs Guidance</w:t>
              </w:r>
            </w:hyperlink>
          </w:p>
        </w:tc>
      </w:tr>
      <w:tr w:rsidR="003B3352" w14:paraId="096ACFC9"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ADAA746" w14:textId="77777777" w:rsidR="003B3352" w:rsidRDefault="00000000">
            <w:pPr>
              <w:spacing w:line="264" w:lineRule="auto"/>
            </w:pPr>
            <w:r>
              <w:rPr>
                <w:b/>
                <w:bCs/>
                <w:sz w:val="19"/>
                <w:szCs w:val="19"/>
              </w:rPr>
              <w:t>Japan</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14FFEAB" w14:textId="77777777" w:rsidR="003B3352" w:rsidRDefault="00000000">
            <w:pPr>
              <w:spacing w:line="264" w:lineRule="auto"/>
            </w:pPr>
            <w:r>
              <w:rPr>
                <w:sz w:val="19"/>
                <w:szCs w:val="19"/>
              </w:rPr>
              <w:t>APPI (amended 2020/2022)</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4E9E8F3" w14:textId="77777777" w:rsidR="003B3352" w:rsidRDefault="00000000">
            <w:pPr>
              <w:spacing w:line="264" w:lineRule="auto"/>
            </w:pPr>
            <w:r>
              <w:rPr>
                <w:sz w:val="19"/>
                <w:szCs w:val="19"/>
              </w:rPr>
              <w:t>2022</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C9A6B73" w14:textId="77777777" w:rsidR="003B3352" w:rsidRDefault="00000000">
            <w:pPr>
              <w:spacing w:line="264" w:lineRule="auto"/>
            </w:pPr>
            <w:r>
              <w:rPr>
                <w:sz w:val="19"/>
                <w:szCs w:val="19"/>
              </w:rPr>
              <w:t>Purpose-limitation model; anonymization and pseudonymization provide processing flexibility</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B18E4F6" w14:textId="77777777" w:rsidR="003B3352" w:rsidRDefault="00000000">
            <w:pPr>
              <w:spacing w:line="264" w:lineRule="auto"/>
            </w:pPr>
            <w:r>
              <w:rPr>
                <w:sz w:val="19"/>
                <w:szCs w:val="19"/>
              </w:rPr>
              <w:t>Different architecture: no data minimization mandate; purpose-specification approach instead</w:t>
            </w:r>
          </w:p>
        </w:tc>
        <w:tc>
          <w:tcPr>
            <w:tcW w:w="1608"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5145E19" w14:textId="77777777" w:rsidR="003B3352" w:rsidRDefault="00000000">
            <w:pPr>
              <w:spacing w:line="264" w:lineRule="auto"/>
            </w:pPr>
            <w:hyperlink r:id="rId10" w:history="1">
              <w:r>
                <w:rPr>
                  <w:color w:val="1155CC"/>
                  <w:sz w:val="19"/>
                  <w:szCs w:val="19"/>
                  <w:u w:val="single" w:color="1155CC"/>
                </w:rPr>
                <w:t>APPI</w:t>
              </w:r>
            </w:hyperlink>
          </w:p>
        </w:tc>
      </w:tr>
      <w:tr w:rsidR="003B3352" w14:paraId="4B63A677"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1B1F84E" w14:textId="77777777" w:rsidR="003B3352" w:rsidRDefault="00000000">
            <w:pPr>
              <w:spacing w:line="264" w:lineRule="auto"/>
            </w:pPr>
            <w:r>
              <w:rPr>
                <w:b/>
                <w:bCs/>
                <w:sz w:val="19"/>
                <w:szCs w:val="19"/>
              </w:rPr>
              <w:t>Maryland (US)</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38FC193" w14:textId="77777777" w:rsidR="003B3352" w:rsidRDefault="00000000">
            <w:pPr>
              <w:spacing w:line="264" w:lineRule="auto"/>
            </w:pPr>
            <w:r>
              <w:rPr>
                <w:sz w:val="19"/>
                <w:szCs w:val="19"/>
              </w:rPr>
              <w:t>MODPA</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D01D3D5" w14:textId="77777777" w:rsidR="003B3352" w:rsidRDefault="00000000">
            <w:pPr>
              <w:spacing w:line="264" w:lineRule="auto"/>
            </w:pPr>
            <w:r>
              <w:rPr>
                <w:sz w:val="19"/>
                <w:szCs w:val="19"/>
              </w:rPr>
              <w:t>2024</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A286B66" w14:textId="77777777" w:rsidR="003B3352" w:rsidRDefault="00000000">
            <w:pPr>
              <w:spacing w:line="264" w:lineRule="auto"/>
            </w:pPr>
            <w:r>
              <w:rPr>
                <w:sz w:val="19"/>
                <w:szCs w:val="19"/>
              </w:rPr>
              <w:t>First US substantive data minimization standard: collection limited to what is necessary for the product/service requested</w:t>
            </w:r>
          </w:p>
        </w:tc>
        <w:tc>
          <w:tcPr>
            <w:tcW w:w="1606"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BACD370" w14:textId="77777777" w:rsidR="003B3352" w:rsidRDefault="00000000">
            <w:pPr>
              <w:spacing w:line="264" w:lineRule="auto"/>
            </w:pPr>
            <w:r>
              <w:rPr>
                <w:sz w:val="19"/>
                <w:szCs w:val="19"/>
              </w:rPr>
              <w:t>Sets most restrictive US baseline; no hardware recognition</w:t>
            </w:r>
          </w:p>
        </w:tc>
        <w:tc>
          <w:tcPr>
            <w:tcW w:w="1608"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038500C" w14:textId="77777777" w:rsidR="003B3352" w:rsidRDefault="00000000">
            <w:pPr>
              <w:spacing w:line="264" w:lineRule="auto"/>
            </w:pPr>
            <w:hyperlink r:id="rId11" w:history="1">
              <w:r>
                <w:rPr>
                  <w:color w:val="1155CC"/>
                  <w:sz w:val="19"/>
                  <w:szCs w:val="19"/>
                  <w:u w:val="single" w:color="1155CC"/>
                </w:rPr>
                <w:t>MODPA</w:t>
              </w:r>
            </w:hyperlink>
          </w:p>
        </w:tc>
      </w:tr>
      <w:tr w:rsidR="003B3352" w14:paraId="7FFC19BD" w14:textId="77777777">
        <w:tblPrEx>
          <w:tblCellMar>
            <w:top w:w="0" w:type="dxa"/>
            <w:bottom w:w="0" w:type="dxa"/>
          </w:tblCellMar>
        </w:tblPrEx>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48F5EF5B" w14:textId="77777777" w:rsidR="003B3352" w:rsidRDefault="00000000">
            <w:pPr>
              <w:spacing w:line="264" w:lineRule="auto"/>
            </w:pPr>
            <w:r>
              <w:rPr>
                <w:b/>
                <w:bCs/>
                <w:sz w:val="19"/>
                <w:szCs w:val="19"/>
              </w:rPr>
              <w:t>Tennessee (US)</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DEC64E1" w14:textId="77777777" w:rsidR="003B3352" w:rsidRDefault="00000000">
            <w:pPr>
              <w:spacing w:line="264" w:lineRule="auto"/>
            </w:pPr>
            <w:r>
              <w:rPr>
                <w:sz w:val="19"/>
                <w:szCs w:val="19"/>
              </w:rPr>
              <w:t>TIPA</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0E6D805" w14:textId="77777777" w:rsidR="003B3352" w:rsidRDefault="00000000">
            <w:pPr>
              <w:spacing w:line="264" w:lineRule="auto"/>
            </w:pPr>
            <w:r>
              <w:rPr>
                <w:sz w:val="19"/>
                <w:szCs w:val="19"/>
              </w:rPr>
              <w:t>2024</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2F9E7D9" w14:textId="77777777" w:rsidR="003B3352" w:rsidRDefault="00000000">
            <w:pPr>
              <w:spacing w:line="264" w:lineRule="auto"/>
            </w:pPr>
            <w:r>
              <w:rPr>
                <w:sz w:val="19"/>
                <w:szCs w:val="19"/>
              </w:rPr>
              <w:t>Provides affirmative defense for entities implementing NIST-aligned privacy programs</w:t>
            </w:r>
          </w:p>
        </w:tc>
        <w:tc>
          <w:tcPr>
            <w:tcW w:w="1606"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484033DE" w14:textId="77777777" w:rsidR="003B3352" w:rsidRDefault="00000000">
            <w:pPr>
              <w:spacing w:line="264" w:lineRule="auto"/>
            </w:pPr>
            <w:r>
              <w:rPr>
                <w:sz w:val="19"/>
                <w:szCs w:val="19"/>
              </w:rPr>
              <w:t>First US law to create compliance incentive tied to NIST frameworks</w:t>
            </w:r>
          </w:p>
        </w:tc>
        <w:tc>
          <w:tcPr>
            <w:tcW w:w="1608"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212A2CA" w14:textId="77777777" w:rsidR="003B3352" w:rsidRDefault="00000000">
            <w:pPr>
              <w:spacing w:line="264" w:lineRule="auto"/>
            </w:pPr>
            <w:hyperlink r:id="rId12" w:history="1">
              <w:r>
                <w:rPr>
                  <w:color w:val="1155CC"/>
                  <w:sz w:val="19"/>
                  <w:szCs w:val="19"/>
                  <w:u w:val="single" w:color="1155CC"/>
                </w:rPr>
                <w:t>TIPA</w:t>
              </w:r>
            </w:hyperlink>
          </w:p>
        </w:tc>
      </w:tr>
    </w:tbl>
    <w:p w14:paraId="05745941" w14:textId="77777777" w:rsidR="003B3352" w:rsidRDefault="003B3352">
      <w:pPr>
        <w:spacing w:after="80"/>
      </w:pPr>
    </w:p>
    <w:p w14:paraId="5B90D42D" w14:textId="77777777" w:rsidR="003B3352" w:rsidRDefault="00000000">
      <w:pPr>
        <w:pStyle w:val="Heading3"/>
      </w:pPr>
      <w:r>
        <w:t>Narrative Analysis</w:t>
      </w:r>
    </w:p>
    <w:p w14:paraId="5E2899B6" w14:textId="77777777" w:rsidR="003B3352" w:rsidRDefault="00000000">
      <w:pPr>
        <w:spacing w:after="140" w:line="276" w:lineRule="auto"/>
      </w:pPr>
      <w:r>
        <w:t xml:space="preserve">The most directly relevant international precedent is the EU AI Act, Recital 69. The EU AI Act states that "the principles of data </w:t>
      </w:r>
      <w:proofErr w:type="spellStart"/>
      <w:r>
        <w:t>minimisation</w:t>
      </w:r>
      <w:proofErr w:type="spellEnd"/>
      <w:r>
        <w:t xml:space="preserve"> and data protection by design and by default, as set out in Union data protection law, are applicable when personal data are processed. Measures taken by providers to ensure compliance with those principles may include not only </w:t>
      </w:r>
      <w:proofErr w:type="spellStart"/>
      <w:r>
        <w:t>anonymisation</w:t>
      </w:r>
      <w:proofErr w:type="spellEnd"/>
      <w:r>
        <w:t xml:space="preserve"> and encryption, but also the use of technology that permits algorithms to be brought to the data and allows training of AI systems without the transmission between parties or copying of the raw or structured data themselves." This is the first time a major jurisdiction has explicitly recognized that processing data locally — rather than transmitting it — is itself a data minimization measure. This principle is directly transferable to the U.S. context.</w:t>
      </w:r>
    </w:p>
    <w:p w14:paraId="569DD360" w14:textId="77777777" w:rsidR="003B3352" w:rsidRDefault="00000000">
      <w:pPr>
        <w:spacing w:after="140" w:line="276" w:lineRule="auto"/>
      </w:pPr>
      <w:r>
        <w:lastRenderedPageBreak/>
        <w:t xml:space="preserve">The GDPR's Article 25 establishes the principle of data protection by design but does not specify hardware mechanisms or confer any safe harbor. Article 25(1) requires the controller to implement appropriate technical and </w:t>
      </w:r>
      <w:proofErr w:type="spellStart"/>
      <w:r>
        <w:t>organisational</w:t>
      </w:r>
      <w:proofErr w:type="spellEnd"/>
      <w:r>
        <w:t xml:space="preserve"> measures, such as </w:t>
      </w:r>
      <w:proofErr w:type="spellStart"/>
      <w:r>
        <w:t>pseudonymisation</w:t>
      </w:r>
      <w:proofErr w:type="spellEnd"/>
      <w:r>
        <w:t xml:space="preserve">, which are designed to implement data-protection principles, such as data </w:t>
      </w:r>
      <w:proofErr w:type="spellStart"/>
      <w:r>
        <w:t>minimisation</w:t>
      </w:r>
      <w:proofErr w:type="spellEnd"/>
      <w:r>
        <w:t>, in an effective manner. However, an approved certification mechanism, pursuant to Article 42, may be used as an element to demonstrate compliance — creating a pathway for hardware certification that the U.S. could adopt in a more direct form.</w:t>
      </w:r>
    </w:p>
    <w:p w14:paraId="7FC2F82A" w14:textId="77777777" w:rsidR="003B3352" w:rsidRDefault="00000000">
      <w:pPr>
        <w:spacing w:after="140" w:line="276" w:lineRule="auto"/>
      </w:pPr>
      <w:r>
        <w:t xml:space="preserve">In the United Kingdom, the ICO guidance explains that PETs are technologies that encapsulate fundamental data protection principles by </w:t>
      </w:r>
      <w:proofErr w:type="spellStart"/>
      <w:r>
        <w:t>minimising</w:t>
      </w:r>
      <w:proofErr w:type="spellEnd"/>
      <w:r>
        <w:t xml:space="preserve"> personal information use, </w:t>
      </w:r>
      <w:proofErr w:type="spellStart"/>
      <w:r>
        <w:t>maximising</w:t>
      </w:r>
      <w:proofErr w:type="spellEnd"/>
      <w:r>
        <w:t xml:space="preserve"> information security, or empowering people. The ICO specifically addresses TEEs: TEEs are made up of software and hardware components. TEEs are isolated from the rest of the system, so that the operating system or hypervisor cannot read the code in the TEE. The ICO recommends embedding privacy by design into hardware and services to demonstrate compliance with the UK GDPR.</w:t>
      </w:r>
    </w:p>
    <w:p w14:paraId="75B771D8" w14:textId="77777777" w:rsidR="003B3352" w:rsidRDefault="00000000">
      <w:pPr>
        <w:spacing w:after="140" w:line="276" w:lineRule="auto"/>
      </w:pPr>
      <w:r>
        <w:t>Domestically, Tennessee's TIPA provides an instructive model: it allows entities to leverage TIPA's affirmative defense by aligning with NIST CSF 2.0. This is the first U.S. state to create a statutory compliance incentive tied to a NIST framework. The same model — but applied to privacy rather than cybersecurity — could underpin a federal hardware safe harbor.</w:t>
      </w:r>
    </w:p>
    <w:p w14:paraId="19975EC9" w14:textId="77777777" w:rsidR="003B3352" w:rsidRDefault="00000000">
      <w:pPr>
        <w:spacing w:after="140" w:line="276" w:lineRule="auto"/>
      </w:pPr>
      <w:r>
        <w:t>The aggregate lesson is clear: the international trend is toward recognizing technical measures as compliance-relevant, but no jurisdiction has yet created a statutory safe harbor for hardware-enforced privacy. The United States has the opportunity to lead.</w:t>
      </w:r>
    </w:p>
    <w:p w14:paraId="5F1C0D79" w14:textId="77777777" w:rsidR="003B3352" w:rsidRDefault="003B3352">
      <w:pPr>
        <w:pBdr>
          <w:bottom w:val="single" w:sz="4" w:space="2" w:color="D0D0D0"/>
        </w:pBdr>
        <w:spacing w:after="100"/>
      </w:pPr>
    </w:p>
    <w:p w14:paraId="523DCD99" w14:textId="77777777" w:rsidR="003B3352" w:rsidRDefault="00000000">
      <w:pPr>
        <w:pStyle w:val="Heading2"/>
      </w:pPr>
      <w:r>
        <w:t>5. POLICY OPTIONS ANALYSIS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7"/>
        <w:gridCol w:w="1927"/>
        <w:gridCol w:w="1927"/>
        <w:gridCol w:w="1927"/>
        <w:gridCol w:w="1930"/>
      </w:tblGrid>
      <w:tr w:rsidR="003B3352" w14:paraId="66D92D0D" w14:textId="77777777">
        <w:tblPrEx>
          <w:tblCellMar>
            <w:top w:w="0" w:type="dxa"/>
            <w:bottom w:w="0" w:type="dxa"/>
          </w:tblCellMar>
        </w:tblPrEx>
        <w:trPr>
          <w:tblHeader/>
        </w:trPr>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8053CFA" w14:textId="77777777" w:rsidR="003B3352" w:rsidRDefault="00000000">
            <w:pPr>
              <w:spacing w:line="264" w:lineRule="auto"/>
            </w:pPr>
            <w:r>
              <w:rPr>
                <w:b/>
                <w:bCs/>
                <w:color w:val="FFFFFF"/>
                <w:sz w:val="19"/>
                <w:szCs w:val="19"/>
              </w:rPr>
              <w:t>Option</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6C0106DA" w14:textId="77777777" w:rsidR="003B3352" w:rsidRDefault="00000000">
            <w:pPr>
              <w:spacing w:line="264" w:lineRule="auto"/>
            </w:pPr>
            <w:r>
              <w:rPr>
                <w:b/>
                <w:bCs/>
                <w:color w:val="FFFFFF"/>
                <w:sz w:val="19"/>
                <w:szCs w:val="19"/>
              </w:rPr>
              <w:t>Description</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E70D6B2" w14:textId="77777777" w:rsidR="003B3352" w:rsidRDefault="00000000">
            <w:pPr>
              <w:spacing w:line="264" w:lineRule="auto"/>
            </w:pPr>
            <w:r>
              <w:rPr>
                <w:b/>
                <w:bCs/>
                <w:color w:val="FFFFFF"/>
                <w:sz w:val="19"/>
                <w:szCs w:val="19"/>
              </w:rPr>
              <w:t>Pros</w:t>
            </w:r>
          </w:p>
        </w:tc>
        <w:tc>
          <w:tcPr>
            <w:tcW w:w="1927"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49E97475" w14:textId="77777777" w:rsidR="003B3352" w:rsidRDefault="00000000">
            <w:pPr>
              <w:spacing w:line="264" w:lineRule="auto"/>
            </w:pPr>
            <w:r>
              <w:rPr>
                <w:b/>
                <w:bCs/>
                <w:color w:val="FFFFFF"/>
                <w:sz w:val="19"/>
                <w:szCs w:val="19"/>
              </w:rPr>
              <w:t>Cons</w:t>
            </w:r>
          </w:p>
        </w:tc>
        <w:tc>
          <w:tcPr>
            <w:tcW w:w="1930"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1C2587D8" w14:textId="77777777" w:rsidR="003B3352" w:rsidRDefault="00000000">
            <w:pPr>
              <w:spacing w:line="264" w:lineRule="auto"/>
            </w:pPr>
            <w:r>
              <w:rPr>
                <w:b/>
                <w:bCs/>
                <w:color w:val="FFFFFF"/>
                <w:sz w:val="19"/>
                <w:szCs w:val="19"/>
              </w:rPr>
              <w:t>Cost/Resource Implications</w:t>
            </w:r>
          </w:p>
        </w:tc>
      </w:tr>
      <w:tr w:rsidR="003B3352" w14:paraId="5EB89CD4"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4A245C8" w14:textId="77777777" w:rsidR="003B3352" w:rsidRDefault="00000000">
            <w:pPr>
              <w:spacing w:line="264" w:lineRule="auto"/>
            </w:pPr>
            <w:r>
              <w:rPr>
                <w:b/>
                <w:bCs/>
                <w:sz w:val="19"/>
                <w:szCs w:val="19"/>
              </w:rPr>
              <w:t>A. Status Quo</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05BDF60" w14:textId="77777777" w:rsidR="003B3352" w:rsidRDefault="00000000">
            <w:pPr>
              <w:spacing w:line="264" w:lineRule="auto"/>
            </w:pPr>
            <w:r>
              <w:rPr>
                <w:sz w:val="19"/>
                <w:szCs w:val="19"/>
              </w:rPr>
              <w:t>No federal law; rely on state patchwork</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F9537EB" w14:textId="77777777" w:rsidR="003B3352" w:rsidRDefault="00000000">
            <w:pPr>
              <w:spacing w:line="264" w:lineRule="auto"/>
            </w:pPr>
            <w:r>
              <w:rPr>
                <w:sz w:val="19"/>
                <w:szCs w:val="19"/>
              </w:rPr>
              <w:t>No legislative risk</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A8F2E9A" w14:textId="77777777" w:rsidR="003B3352" w:rsidRDefault="00000000">
            <w:pPr>
              <w:spacing w:line="264" w:lineRule="auto"/>
            </w:pPr>
            <w:r>
              <w:rPr>
                <w:sz w:val="19"/>
                <w:szCs w:val="19"/>
              </w:rPr>
              <w:t>Compliance cost escalates; no preemption; definitions set by 50 different AGs and courts</w:t>
            </w:r>
          </w:p>
        </w:tc>
        <w:tc>
          <w:tcPr>
            <w:tcW w:w="193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1FBAA13" w14:textId="77777777" w:rsidR="003B3352" w:rsidRDefault="00000000">
            <w:pPr>
              <w:spacing w:line="264" w:lineRule="auto"/>
            </w:pPr>
            <w:r>
              <w:rPr>
                <w:sz w:val="19"/>
                <w:szCs w:val="19"/>
              </w:rPr>
              <w:t>ITIF estimates $1 trillion in out-of-state enforcement costs over 10 years if all 50 states enact laws</w:t>
            </w:r>
          </w:p>
        </w:tc>
      </w:tr>
      <w:tr w:rsidR="003B3352" w14:paraId="292987A8"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B6549A7" w14:textId="77777777" w:rsidR="003B3352" w:rsidRDefault="00000000">
            <w:pPr>
              <w:spacing w:line="264" w:lineRule="auto"/>
            </w:pPr>
            <w:r>
              <w:rPr>
                <w:b/>
                <w:bCs/>
                <w:sz w:val="19"/>
                <w:szCs w:val="19"/>
              </w:rPr>
              <w:t>B. Federal law without defined "necessary" or hardware safe harbor</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7C7874D" w14:textId="77777777" w:rsidR="003B3352" w:rsidRDefault="00000000">
            <w:pPr>
              <w:spacing w:line="264" w:lineRule="auto"/>
            </w:pPr>
            <w:r>
              <w:rPr>
                <w:sz w:val="19"/>
                <w:szCs w:val="19"/>
              </w:rPr>
              <w:t>Pass federal privacy bill with undefined data minimization standard</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C9E63B9" w14:textId="77777777" w:rsidR="003B3352" w:rsidRDefault="00000000">
            <w:pPr>
              <w:spacing w:line="264" w:lineRule="auto"/>
            </w:pPr>
            <w:r>
              <w:rPr>
                <w:sz w:val="19"/>
                <w:szCs w:val="19"/>
              </w:rPr>
              <w:t>Achieves preemption; reduces patchwork</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3648660" w14:textId="77777777" w:rsidR="003B3352" w:rsidRDefault="00000000">
            <w:pPr>
              <w:spacing w:line="264" w:lineRule="auto"/>
            </w:pPr>
            <w:r>
              <w:rPr>
                <w:sz w:val="19"/>
                <w:szCs w:val="19"/>
              </w:rPr>
              <w:t>"Necessary" defined by FTC/courts; hardware investment unrewarded; uncertainty persists</w:t>
            </w:r>
          </w:p>
        </w:tc>
        <w:tc>
          <w:tcPr>
            <w:tcW w:w="1930"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283E65E" w14:textId="77777777" w:rsidR="003B3352" w:rsidRDefault="00000000">
            <w:pPr>
              <w:spacing w:line="264" w:lineRule="auto"/>
            </w:pPr>
            <w:r>
              <w:rPr>
                <w:sz w:val="19"/>
                <w:szCs w:val="19"/>
              </w:rPr>
              <w:t>Compliance cost lower than patchwork but unpredictable</w:t>
            </w:r>
          </w:p>
        </w:tc>
      </w:tr>
      <w:tr w:rsidR="003B3352" w14:paraId="7D23B9E0"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945F3E6" w14:textId="77777777" w:rsidR="003B3352" w:rsidRDefault="00000000">
            <w:pPr>
              <w:spacing w:line="264" w:lineRule="auto"/>
            </w:pPr>
            <w:r>
              <w:rPr>
                <w:b/>
                <w:bCs/>
                <w:sz w:val="19"/>
                <w:szCs w:val="19"/>
              </w:rPr>
              <w:t>C. Federal law with statutory "necessary" definition only</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BAA9D6A" w14:textId="77777777" w:rsidR="003B3352" w:rsidRDefault="00000000">
            <w:pPr>
              <w:spacing w:line="264" w:lineRule="auto"/>
            </w:pPr>
            <w:r>
              <w:rPr>
                <w:sz w:val="19"/>
                <w:szCs w:val="19"/>
              </w:rPr>
              <w:t>Enumerate categories of permissible processing</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B65C3B2" w14:textId="77777777" w:rsidR="003B3352" w:rsidRDefault="00000000">
            <w:pPr>
              <w:spacing w:line="264" w:lineRule="auto"/>
            </w:pPr>
            <w:r>
              <w:rPr>
                <w:sz w:val="19"/>
                <w:szCs w:val="19"/>
              </w:rPr>
              <w:t>Provides definitional certainty; reduces litigation risk</w:t>
            </w:r>
          </w:p>
        </w:tc>
        <w:tc>
          <w:tcPr>
            <w:tcW w:w="1927"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A117BDA" w14:textId="77777777" w:rsidR="003B3352" w:rsidRDefault="00000000">
            <w:pPr>
              <w:spacing w:line="264" w:lineRule="auto"/>
            </w:pPr>
            <w:r>
              <w:rPr>
                <w:sz w:val="19"/>
                <w:szCs w:val="19"/>
              </w:rPr>
              <w:t>Does not reward hardware privacy investment; no incentive structure</w:t>
            </w:r>
          </w:p>
        </w:tc>
        <w:tc>
          <w:tcPr>
            <w:tcW w:w="193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BC91B28" w14:textId="77777777" w:rsidR="003B3352" w:rsidRDefault="00000000">
            <w:pPr>
              <w:spacing w:line="264" w:lineRule="auto"/>
            </w:pPr>
            <w:r>
              <w:rPr>
                <w:sz w:val="19"/>
                <w:szCs w:val="19"/>
              </w:rPr>
              <w:t>Moderate; requires legislative drafting</w:t>
            </w:r>
          </w:p>
        </w:tc>
      </w:tr>
      <w:tr w:rsidR="003B3352" w14:paraId="4C4CCE31" w14:textId="77777777">
        <w:tblPrEx>
          <w:tblCellMar>
            <w:top w:w="0" w:type="dxa"/>
            <w:bottom w:w="0" w:type="dxa"/>
          </w:tblCellMar>
        </w:tblPrEx>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E9EB93D" w14:textId="77777777" w:rsidR="003B3352" w:rsidRDefault="00000000">
            <w:pPr>
              <w:spacing w:line="264" w:lineRule="auto"/>
            </w:pPr>
            <w:r>
              <w:rPr>
                <w:b/>
                <w:bCs/>
                <w:sz w:val="19"/>
                <w:szCs w:val="19"/>
              </w:rPr>
              <w:t>D. Federal law with both statutory "necessary" definition and hardware safe harbor</w:t>
            </w:r>
            <w:r>
              <w:rPr>
                <w:sz w:val="19"/>
                <w:szCs w:val="19"/>
              </w:rPr>
              <w:t xml:space="preserve"> (Recommended)</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A354489" w14:textId="77777777" w:rsidR="003B3352" w:rsidRDefault="00000000">
            <w:pPr>
              <w:spacing w:line="264" w:lineRule="auto"/>
            </w:pPr>
            <w:r>
              <w:rPr>
                <w:sz w:val="19"/>
                <w:szCs w:val="19"/>
              </w:rPr>
              <w:t>Enumerate "necessary" categories AND create safe harbor for hardware-enforced privacy controls meeting FTC/NIST criteria</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892FA69" w14:textId="77777777" w:rsidR="003B3352" w:rsidRDefault="00000000">
            <w:pPr>
              <w:spacing w:line="264" w:lineRule="auto"/>
            </w:pPr>
            <w:r>
              <w:rPr>
                <w:sz w:val="19"/>
                <w:szCs w:val="19"/>
              </w:rPr>
              <w:t>Maximum certainty; rewards innovation; aligns with CHIPS Act; strongest preemption argument</w:t>
            </w:r>
          </w:p>
        </w:tc>
        <w:tc>
          <w:tcPr>
            <w:tcW w:w="1927"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799D6249" w14:textId="77777777" w:rsidR="003B3352" w:rsidRDefault="00000000">
            <w:pPr>
              <w:spacing w:line="264" w:lineRule="auto"/>
            </w:pPr>
            <w:r>
              <w:rPr>
                <w:sz w:val="19"/>
                <w:szCs w:val="19"/>
              </w:rPr>
              <w:t>Requires careful drafting to prevent overreach; privacy advocates will scrutinize</w:t>
            </w:r>
          </w:p>
        </w:tc>
        <w:tc>
          <w:tcPr>
            <w:tcW w:w="1930"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5D08A0D" w14:textId="77777777" w:rsidR="003B3352" w:rsidRDefault="00000000">
            <w:pPr>
              <w:spacing w:line="264" w:lineRule="auto"/>
            </w:pPr>
            <w:r>
              <w:rPr>
                <w:sz w:val="19"/>
                <w:szCs w:val="19"/>
              </w:rPr>
              <w:t>FTC staffing for criteria development; NIST technical standards work (leverages existing NIST IR 8320 series)</w:t>
            </w:r>
          </w:p>
        </w:tc>
      </w:tr>
    </w:tbl>
    <w:p w14:paraId="398F13DB" w14:textId="77777777" w:rsidR="003B3352" w:rsidRDefault="003B3352">
      <w:pPr>
        <w:spacing w:after="80"/>
      </w:pPr>
    </w:p>
    <w:p w14:paraId="40F97B2C" w14:textId="77777777" w:rsidR="003B3352" w:rsidRDefault="00000000">
      <w:pPr>
        <w:spacing w:after="140" w:line="276" w:lineRule="auto"/>
      </w:pPr>
      <w:r>
        <w:rPr>
          <w:b/>
          <w:bCs/>
        </w:rPr>
        <w:lastRenderedPageBreak/>
        <w:t>Bridge to recommendation:</w:t>
      </w:r>
      <w:r>
        <w:t xml:space="preserve"> Option D is the only option that simultaneously solves both problems — definitional ambiguity and the hardware recognition gap — while creating an affirmative incentive structure for American semiconductor innovation. It also provides the strongest political argument for preemption: a federal standard that is demonstrably more protective than any state law, because it rewards the structural elimination of data exposure rather than just limiting its scope.</w:t>
      </w:r>
    </w:p>
    <w:p w14:paraId="3DF70CD1" w14:textId="77777777" w:rsidR="003B3352" w:rsidRDefault="003B3352">
      <w:pPr>
        <w:pBdr>
          <w:bottom w:val="single" w:sz="4" w:space="2" w:color="D0D0D0"/>
        </w:pBdr>
        <w:spacing w:after="100"/>
      </w:pPr>
    </w:p>
    <w:p w14:paraId="49B392DB" w14:textId="77777777" w:rsidR="003B3352" w:rsidRDefault="00000000">
      <w:pPr>
        <w:pStyle w:val="Heading2"/>
      </w:pPr>
      <w:r>
        <w:t>6. COST OF INACTION</w:t>
      </w:r>
    </w:p>
    <w:p w14:paraId="0915A8BD" w14:textId="77777777" w:rsidR="003B3352" w:rsidRDefault="00000000">
      <w:pPr>
        <w:spacing w:after="140" w:line="276" w:lineRule="auto"/>
      </w:pPr>
      <w:r>
        <w:t>If Congress passes a privacy bill without defining "necessary" and without recognizing hardware-level compliance:</w:t>
      </w:r>
    </w:p>
    <w:p w14:paraId="1EF71196" w14:textId="77777777" w:rsidR="003B3352" w:rsidRDefault="00000000">
      <w:pPr>
        <w:spacing w:after="140" w:line="276" w:lineRule="auto"/>
      </w:pPr>
      <w:r>
        <w:rPr>
          <w:b/>
          <w:bCs/>
        </w:rPr>
        <w:t>For consumers:</w:t>
      </w:r>
      <w:r>
        <w:t xml:space="preserve"> The absence of hardware recognition means that the most privacy-protective technology available — on-chip processing that never transmits data — receives no regulatory reward. Companies have no incentive to invest in hardware privacy over cheaper software-only compliance measures. Consumers are left with weaker privacy protections than technology permits.</w:t>
      </w:r>
    </w:p>
    <w:p w14:paraId="076A6071" w14:textId="77777777" w:rsidR="003B3352" w:rsidRDefault="00000000">
      <w:pPr>
        <w:spacing w:after="140" w:line="276" w:lineRule="auto"/>
      </w:pPr>
      <w:r>
        <w:rPr>
          <w:b/>
          <w:bCs/>
        </w:rPr>
        <w:t>For the semiconductor industry:</w:t>
      </w:r>
      <w:r>
        <w:t xml:space="preserve"> The U.S. semiconductor industry maintains one of the highest levels of R&amp;D investment as a percentage of sales of any U.S. industry. In 2024, U.S. semiconductor industry investment in R&amp;D totaled $62.7 billion, representing a 5.7% increase over 2023. A significant share of this investment is in privacy and security features at the silicon level. Without a compliance framework that recognizes this investment, companies face the paradox of building the world's most advanced privacy hardware while receiving no regulatory benefit from it.</w:t>
      </w:r>
    </w:p>
    <w:p w14:paraId="17028454" w14:textId="77777777" w:rsidR="003B3352" w:rsidRDefault="00000000">
      <w:pPr>
        <w:spacing w:after="140" w:line="276" w:lineRule="auto"/>
      </w:pPr>
      <w:r>
        <w:rPr>
          <w:b/>
          <w:bCs/>
        </w:rPr>
        <w:t>For regulatory coherence:</w:t>
      </w:r>
      <w:r>
        <w:t xml:space="preserve"> Nineteen states have enacted comprehensive privacy laws, and eight states amended their existing laws in 2025 alone, demonstrating that regulatory evolution is constant. States have shown a willingness to act together, with California, Connecticut, and Colorado announcing a joint investigative sweep and 10 states forming a Consortium of Privacy Regulators. The fragmentation is accelerating, not stabilizing.</w:t>
      </w:r>
    </w:p>
    <w:p w14:paraId="569B439C" w14:textId="77777777" w:rsidR="003B3352" w:rsidRDefault="00000000">
      <w:pPr>
        <w:spacing w:after="140" w:line="276" w:lineRule="auto"/>
      </w:pPr>
      <w:r>
        <w:rPr>
          <w:b/>
          <w:bCs/>
        </w:rPr>
        <w:t>For American competitiveness:</w:t>
      </w:r>
      <w:r>
        <w:t xml:space="preserve"> The CHIPS and Science Act invested $52 billion in domestic semiconductor manufacturing. The CHIPS and Science Act provides $39 billion in manufacturing grants and $13 billion in R&amp;D funding. In July 2025, leaders in Washington enacted legislation strengthening the Advanced Manufacturing Investment Credit, increasing the rate from 25% to 35%. It would be a policy contradiction of the first order to invest tens of billions in building domestic chip manufacturing while enacting a privacy law that fails to recognize the privacy capabilities these chips deliver.</w:t>
      </w:r>
    </w:p>
    <w:p w14:paraId="1D7DA140" w14:textId="77777777" w:rsidR="003B3352" w:rsidRDefault="003B3352">
      <w:pPr>
        <w:pBdr>
          <w:bottom w:val="single" w:sz="4" w:space="2" w:color="D0D0D0"/>
        </w:pBdr>
        <w:spacing w:after="100"/>
      </w:pPr>
    </w:p>
    <w:p w14:paraId="779FC51A" w14:textId="77777777" w:rsidR="003B3352" w:rsidRDefault="00000000">
      <w:pPr>
        <w:pStyle w:val="Heading2"/>
      </w:pPr>
      <w:r>
        <w:t>7. RECOMMENDED OPTION &amp; IMPLEMENTATION</w:t>
      </w:r>
    </w:p>
    <w:p w14:paraId="475960C5" w14:textId="77777777" w:rsidR="003B3352" w:rsidRDefault="00000000">
      <w:pPr>
        <w:pStyle w:val="Heading3"/>
      </w:pPr>
      <w:r>
        <w:t>Recommendation: Option D — Statutory Definition of "Necessary" + Hardware Privacy Safe Harbor</w:t>
      </w:r>
    </w:p>
    <w:p w14:paraId="4AE235D0" w14:textId="77777777" w:rsidR="003B3352" w:rsidRDefault="00000000">
      <w:pPr>
        <w:spacing w:before="160" w:after="80"/>
      </w:pPr>
      <w:r>
        <w:rPr>
          <w:b/>
          <w:bCs/>
          <w:color w:val="1B2B4B"/>
          <w:sz w:val="23"/>
          <w:szCs w:val="23"/>
        </w:rPr>
        <w:t>Part 1: Statutory Definition of "Necessary"</w:t>
      </w:r>
    </w:p>
    <w:p w14:paraId="63375B01" w14:textId="77777777" w:rsidR="003B3352" w:rsidRDefault="00000000">
      <w:pPr>
        <w:spacing w:after="140" w:line="276" w:lineRule="auto"/>
      </w:pPr>
      <w:r>
        <w:t>The term "necessary" as used in the data minimization provision should be defined in statute to mean processing that is:</w:t>
      </w:r>
    </w:p>
    <w:p w14:paraId="5DAB2B86" w14:textId="77777777" w:rsidR="003B3352" w:rsidRDefault="00000000">
      <w:pPr>
        <w:spacing w:after="140" w:line="276" w:lineRule="auto"/>
      </w:pPr>
      <w:r>
        <w:t>(a) Reasonably required to provide, maintain, or support the specific product, service, or feature requested by the individual;</w:t>
      </w:r>
    </w:p>
    <w:p w14:paraId="0AB19EAE" w14:textId="77777777" w:rsidR="003B3352" w:rsidRDefault="00000000">
      <w:pPr>
        <w:spacing w:after="140" w:line="276" w:lineRule="auto"/>
      </w:pPr>
      <w:r>
        <w:t>(b) Reasonably required for the security, integrity, or functionality of the device, system, or network on which the product or service operates;</w:t>
      </w:r>
    </w:p>
    <w:p w14:paraId="5B213B5F" w14:textId="77777777" w:rsidR="003B3352" w:rsidRDefault="00000000">
      <w:pPr>
        <w:spacing w:after="140" w:line="276" w:lineRule="auto"/>
      </w:pPr>
      <w:r>
        <w:t>(c) Reasonably required to comply with a legal obligation;</w:t>
      </w:r>
    </w:p>
    <w:p w14:paraId="24EF9443" w14:textId="77777777" w:rsidR="003B3352" w:rsidRDefault="00000000">
      <w:pPr>
        <w:spacing w:after="140" w:line="276" w:lineRule="auto"/>
      </w:pPr>
      <w:r>
        <w:lastRenderedPageBreak/>
        <w:t>(d) Reasonably required for fraud prevention, authentication, or identity verification;</w:t>
      </w:r>
    </w:p>
    <w:p w14:paraId="1617A5A2" w14:textId="77777777" w:rsidR="003B3352" w:rsidRDefault="00000000">
      <w:pPr>
        <w:spacing w:after="140" w:line="276" w:lineRule="auto"/>
      </w:pPr>
      <w:r>
        <w:t>(e) Performed entirely on-device or within a hardware-enforced processing environment and not transmitted externally, where the processing serves the purposes described in (a) or (b).</w:t>
      </w:r>
    </w:p>
    <w:p w14:paraId="243A02C8" w14:textId="77777777" w:rsidR="003B3352" w:rsidRDefault="00000000">
      <w:pPr>
        <w:spacing w:after="140" w:line="276" w:lineRule="auto"/>
      </w:pPr>
      <w:r>
        <w:t>This definition is bounded (it enumerates categories), graduated (it allows reasonable judgment), and structurally pro-consumer (category (e) creates an incentive for local processing over data transmission).</w:t>
      </w:r>
    </w:p>
    <w:p w14:paraId="60897EB5" w14:textId="77777777" w:rsidR="003B3352" w:rsidRDefault="00000000">
      <w:pPr>
        <w:spacing w:before="160" w:after="80"/>
      </w:pPr>
      <w:r>
        <w:rPr>
          <w:b/>
          <w:bCs/>
          <w:color w:val="1B2B4B"/>
          <w:sz w:val="23"/>
          <w:szCs w:val="23"/>
        </w:rPr>
        <w:t>Part 2: Hardware Privacy Safe Harbor</w:t>
      </w:r>
    </w:p>
    <w:p w14:paraId="15CECD9B" w14:textId="77777777" w:rsidR="003B3352" w:rsidRDefault="00000000">
      <w:pPr>
        <w:spacing w:after="140" w:line="276" w:lineRule="auto"/>
      </w:pPr>
      <w:r>
        <w:t>A new section should provide:</w:t>
      </w:r>
    </w:p>
    <w:p w14:paraId="39B283B5" w14:textId="77777777" w:rsidR="003B3352" w:rsidRDefault="00000000">
      <w:pPr>
        <w:spacing w:after="140" w:line="276" w:lineRule="auto"/>
      </w:pPr>
      <w:r>
        <w:t xml:space="preserve">&gt; </w:t>
      </w:r>
      <w:r>
        <w:rPr>
          <w:i/>
          <w:iCs/>
        </w:rPr>
        <w:t>A covered entity shall be deemed in compliance with the data minimization requirements of this Act with respect to any covered data that is processed entirely within a hardware-enforced privacy environment — including but not limited to a trusted execution environment, secure enclave, or hardware-rooted data isolation mechanism — that meets criteria established by the Commission, in consultation with the National Institute of Standards and Technology, provided that:</w:t>
      </w:r>
    </w:p>
    <w:p w14:paraId="10738CC6" w14:textId="77777777" w:rsidR="003B3352" w:rsidRDefault="00000000">
      <w:pPr>
        <w:spacing w:after="140" w:line="276" w:lineRule="auto"/>
      </w:pPr>
      <w:r>
        <w:t>&gt;</w:t>
      </w:r>
    </w:p>
    <w:p w14:paraId="3BEC4F7D" w14:textId="77777777" w:rsidR="003B3352" w:rsidRDefault="00000000">
      <w:pPr>
        <w:spacing w:after="140" w:line="276" w:lineRule="auto"/>
      </w:pPr>
      <w:r>
        <w:t xml:space="preserve">&gt; </w:t>
      </w:r>
      <w:r>
        <w:rPr>
          <w:i/>
          <w:iCs/>
        </w:rPr>
        <w:t>(1) The covered data is not transmitted, stored, or made accessible outside the hardware-enforced environment;</w:t>
      </w:r>
    </w:p>
    <w:p w14:paraId="73B233CA" w14:textId="77777777" w:rsidR="003B3352" w:rsidRDefault="00000000">
      <w:pPr>
        <w:spacing w:after="140" w:line="276" w:lineRule="auto"/>
      </w:pPr>
      <w:r>
        <w:t xml:space="preserve">&gt; </w:t>
      </w:r>
      <w:r>
        <w:rPr>
          <w:i/>
          <w:iCs/>
        </w:rPr>
        <w:t>(2) The covered data is automatically purged upon completion of the processing operation or within a timeframe specified by the Commission;</w:t>
      </w:r>
    </w:p>
    <w:p w14:paraId="1679D43B" w14:textId="77777777" w:rsidR="003B3352" w:rsidRDefault="00000000">
      <w:pPr>
        <w:spacing w:after="140" w:line="276" w:lineRule="auto"/>
      </w:pPr>
      <w:r>
        <w:t xml:space="preserve">&gt; </w:t>
      </w:r>
      <w:r>
        <w:rPr>
          <w:i/>
          <w:iCs/>
        </w:rPr>
        <w:t>(3) The hardware-enforced environment has been verified through an attestation mechanism that meets standards specified by the Commission; and</w:t>
      </w:r>
    </w:p>
    <w:p w14:paraId="5ACF9B0C" w14:textId="77777777" w:rsidR="003B3352" w:rsidRDefault="00000000">
      <w:pPr>
        <w:spacing w:after="140" w:line="276" w:lineRule="auto"/>
      </w:pPr>
      <w:r>
        <w:t xml:space="preserve">&gt; </w:t>
      </w:r>
      <w:r>
        <w:rPr>
          <w:i/>
          <w:iCs/>
        </w:rPr>
        <w:t>(4) The covered entity maintains auditable records demonstrating compliance with paragraphs (1) through (3).</w:t>
      </w:r>
    </w:p>
    <w:p w14:paraId="697BFD5D" w14:textId="77777777" w:rsidR="003B3352" w:rsidRDefault="00000000">
      <w:pPr>
        <w:spacing w:before="160" w:after="80"/>
      </w:pPr>
      <w:r>
        <w:rPr>
          <w:b/>
          <w:bCs/>
          <w:color w:val="1B2B4B"/>
          <w:sz w:val="23"/>
          <w:szCs w:val="23"/>
        </w:rPr>
        <w:t>Implementation Phases: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9"/>
        <w:gridCol w:w="2409"/>
        <w:gridCol w:w="2409"/>
        <w:gridCol w:w="2411"/>
      </w:tblGrid>
      <w:tr w:rsidR="003B3352" w14:paraId="7C63E605" w14:textId="77777777">
        <w:tblPrEx>
          <w:tblCellMar>
            <w:top w:w="0" w:type="dxa"/>
            <w:bottom w:w="0" w:type="dxa"/>
          </w:tblCellMar>
        </w:tblPrEx>
        <w:trPr>
          <w:tblHeader/>
        </w:trPr>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54B3C91A" w14:textId="77777777" w:rsidR="003B3352" w:rsidRDefault="00000000">
            <w:pPr>
              <w:spacing w:line="264" w:lineRule="auto"/>
            </w:pPr>
            <w:r>
              <w:rPr>
                <w:b/>
                <w:bCs/>
                <w:color w:val="FFFFFF"/>
                <w:sz w:val="19"/>
                <w:szCs w:val="19"/>
              </w:rPr>
              <w:t>Phase</w:t>
            </w:r>
          </w:p>
        </w:tc>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1036CF01" w14:textId="77777777" w:rsidR="003B3352" w:rsidRDefault="00000000">
            <w:pPr>
              <w:spacing w:line="264" w:lineRule="auto"/>
            </w:pPr>
            <w:r>
              <w:rPr>
                <w:b/>
                <w:bCs/>
                <w:color w:val="FFFFFF"/>
                <w:sz w:val="19"/>
                <w:szCs w:val="19"/>
              </w:rPr>
              <w:t>Actions</w:t>
            </w:r>
          </w:p>
        </w:tc>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1B003B3" w14:textId="77777777" w:rsidR="003B3352" w:rsidRDefault="00000000">
            <w:pPr>
              <w:spacing w:line="264" w:lineRule="auto"/>
            </w:pPr>
            <w:r>
              <w:rPr>
                <w:b/>
                <w:bCs/>
                <w:color w:val="FFFFFF"/>
                <w:sz w:val="19"/>
                <w:szCs w:val="19"/>
              </w:rPr>
              <w:t>Responsible Actors</w:t>
            </w:r>
          </w:p>
        </w:tc>
        <w:tc>
          <w:tcPr>
            <w:tcW w:w="2411"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788AB58D" w14:textId="77777777" w:rsidR="003B3352" w:rsidRDefault="00000000">
            <w:pPr>
              <w:spacing w:line="264" w:lineRule="auto"/>
            </w:pPr>
            <w:r>
              <w:rPr>
                <w:b/>
                <w:bCs/>
                <w:color w:val="FFFFFF"/>
                <w:sz w:val="19"/>
                <w:szCs w:val="19"/>
              </w:rPr>
              <w:t>Timeline</w:t>
            </w:r>
          </w:p>
        </w:tc>
      </w:tr>
      <w:tr w:rsidR="003B3352" w14:paraId="105212BE"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F7C3B24" w14:textId="77777777" w:rsidR="003B3352" w:rsidRDefault="00000000">
            <w:pPr>
              <w:spacing w:line="264" w:lineRule="auto"/>
            </w:pPr>
            <w:r>
              <w:rPr>
                <w:sz w:val="19"/>
                <w:szCs w:val="19"/>
              </w:rPr>
              <w:t>1. Legislative drafting</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BF58826" w14:textId="77777777" w:rsidR="003B3352" w:rsidRDefault="00000000">
            <w:pPr>
              <w:spacing w:line="264" w:lineRule="auto"/>
            </w:pPr>
            <w:r>
              <w:rPr>
                <w:sz w:val="19"/>
                <w:szCs w:val="19"/>
              </w:rPr>
              <w:t>Insert definition and safe harbor provisions into working group draft</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575233A" w14:textId="77777777" w:rsidR="003B3352" w:rsidRDefault="00000000">
            <w:pPr>
              <w:spacing w:line="264" w:lineRule="auto"/>
            </w:pPr>
            <w:r>
              <w:rPr>
                <w:sz w:val="19"/>
                <w:szCs w:val="19"/>
              </w:rPr>
              <w:t>House E&amp;C Working Group; Committee Counsel</w:t>
            </w:r>
          </w:p>
        </w:tc>
        <w:tc>
          <w:tcPr>
            <w:tcW w:w="2411"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9D520A4" w14:textId="77777777" w:rsidR="003B3352" w:rsidRDefault="00000000">
            <w:pPr>
              <w:spacing w:line="264" w:lineRule="auto"/>
            </w:pPr>
            <w:r>
              <w:rPr>
                <w:sz w:val="19"/>
                <w:szCs w:val="19"/>
              </w:rPr>
              <w:t>Now — Q3 2025</w:t>
            </w:r>
          </w:p>
        </w:tc>
      </w:tr>
      <w:tr w:rsidR="003B3352" w14:paraId="1943836C"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7A5AA5D" w14:textId="77777777" w:rsidR="003B3352" w:rsidRDefault="00000000">
            <w:pPr>
              <w:spacing w:line="264" w:lineRule="auto"/>
            </w:pPr>
            <w:r>
              <w:rPr>
                <w:sz w:val="19"/>
                <w:szCs w:val="19"/>
              </w:rPr>
              <w:t>2. Committee report language</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985731F" w14:textId="77777777" w:rsidR="003B3352" w:rsidRDefault="00000000">
            <w:pPr>
              <w:spacing w:line="264" w:lineRule="auto"/>
            </w:pPr>
            <w:r>
              <w:rPr>
                <w:sz w:val="19"/>
                <w:szCs w:val="19"/>
              </w:rPr>
              <w:t>Parallel drafting of interpretive guidance specifying that hardware controls represent the strongest form of data minimization</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F9E5516" w14:textId="77777777" w:rsidR="003B3352" w:rsidRDefault="00000000">
            <w:pPr>
              <w:spacing w:line="264" w:lineRule="auto"/>
            </w:pPr>
            <w:r>
              <w:rPr>
                <w:sz w:val="19"/>
                <w:szCs w:val="19"/>
              </w:rPr>
              <w:t>Committee staff</w:t>
            </w:r>
          </w:p>
        </w:tc>
        <w:tc>
          <w:tcPr>
            <w:tcW w:w="2411"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8330B41" w14:textId="77777777" w:rsidR="003B3352" w:rsidRDefault="00000000">
            <w:pPr>
              <w:spacing w:line="264" w:lineRule="auto"/>
            </w:pPr>
            <w:r>
              <w:rPr>
                <w:sz w:val="19"/>
                <w:szCs w:val="19"/>
              </w:rPr>
              <w:t>Concurrent with Phase 1</w:t>
            </w:r>
          </w:p>
        </w:tc>
      </w:tr>
      <w:tr w:rsidR="003B3352" w14:paraId="44CD0C29"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E1592A9" w14:textId="77777777" w:rsidR="003B3352" w:rsidRDefault="00000000">
            <w:pPr>
              <w:spacing w:line="264" w:lineRule="auto"/>
            </w:pPr>
            <w:r>
              <w:rPr>
                <w:sz w:val="19"/>
                <w:szCs w:val="19"/>
              </w:rPr>
              <w:t>3. FTC criteria development</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CA841BA" w14:textId="77777777" w:rsidR="003B3352" w:rsidRDefault="00000000">
            <w:pPr>
              <w:spacing w:line="264" w:lineRule="auto"/>
            </w:pPr>
            <w:r>
              <w:rPr>
                <w:sz w:val="19"/>
                <w:szCs w:val="19"/>
              </w:rPr>
              <w:t>FTC, in consultation with NIST, issues criteria for qualifying hardware-enforced environments</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DEE385D" w14:textId="77777777" w:rsidR="003B3352" w:rsidRDefault="00000000">
            <w:pPr>
              <w:spacing w:line="264" w:lineRule="auto"/>
            </w:pPr>
            <w:r>
              <w:rPr>
                <w:sz w:val="19"/>
                <w:szCs w:val="19"/>
              </w:rPr>
              <w:t>FTC; NIST</w:t>
            </w:r>
          </w:p>
        </w:tc>
        <w:tc>
          <w:tcPr>
            <w:tcW w:w="2411"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6F51FAD" w14:textId="77777777" w:rsidR="003B3352" w:rsidRDefault="00000000">
            <w:pPr>
              <w:spacing w:line="264" w:lineRule="auto"/>
            </w:pPr>
            <w:r>
              <w:rPr>
                <w:sz w:val="19"/>
                <w:szCs w:val="19"/>
              </w:rPr>
              <w:t>Within 18 months of enactment</w:t>
            </w:r>
          </w:p>
        </w:tc>
      </w:tr>
      <w:tr w:rsidR="003B3352" w14:paraId="3D19CCDB"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9585258" w14:textId="77777777" w:rsidR="003B3352" w:rsidRDefault="00000000">
            <w:pPr>
              <w:spacing w:line="264" w:lineRule="auto"/>
            </w:pPr>
            <w:r>
              <w:rPr>
                <w:sz w:val="19"/>
                <w:szCs w:val="19"/>
              </w:rPr>
              <w:t>4. Industry certification</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C5BBE75" w14:textId="77777777" w:rsidR="003B3352" w:rsidRDefault="00000000">
            <w:pPr>
              <w:spacing w:line="264" w:lineRule="auto"/>
            </w:pPr>
            <w:r>
              <w:rPr>
                <w:sz w:val="19"/>
                <w:szCs w:val="19"/>
              </w:rPr>
              <w:t>Semiconductor manufacturers submit hardware designs for FTC/NIST verification against established criteria</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6A642BC" w14:textId="77777777" w:rsidR="003B3352" w:rsidRDefault="00000000">
            <w:pPr>
              <w:spacing w:line="264" w:lineRule="auto"/>
            </w:pPr>
            <w:r>
              <w:rPr>
                <w:sz w:val="19"/>
                <w:szCs w:val="19"/>
              </w:rPr>
              <w:t>Industry; FTC; NIST</w:t>
            </w:r>
          </w:p>
        </w:tc>
        <w:tc>
          <w:tcPr>
            <w:tcW w:w="2411"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35ACA90" w14:textId="77777777" w:rsidR="003B3352" w:rsidRDefault="00000000">
            <w:pPr>
              <w:spacing w:line="264" w:lineRule="auto"/>
            </w:pPr>
            <w:r>
              <w:rPr>
                <w:sz w:val="19"/>
                <w:szCs w:val="19"/>
              </w:rPr>
              <w:t>Within 24 months of criteria publication</w:t>
            </w:r>
          </w:p>
        </w:tc>
      </w:tr>
    </w:tbl>
    <w:p w14:paraId="21D4BF88" w14:textId="77777777" w:rsidR="003B3352" w:rsidRDefault="003B3352">
      <w:pPr>
        <w:spacing w:after="80"/>
      </w:pPr>
    </w:p>
    <w:p w14:paraId="79C4934D" w14:textId="77777777" w:rsidR="003B3352" w:rsidRDefault="003B3352">
      <w:pPr>
        <w:pBdr>
          <w:bottom w:val="single" w:sz="4" w:space="2" w:color="D0D0D0"/>
        </w:pBdr>
        <w:spacing w:after="100"/>
      </w:pPr>
    </w:p>
    <w:p w14:paraId="0553FB72" w14:textId="77777777" w:rsidR="003B3352" w:rsidRDefault="00000000">
      <w:pPr>
        <w:pStyle w:val="Heading2"/>
      </w:pPr>
      <w:r>
        <w:lastRenderedPageBreak/>
        <w:t>8. RISK CONSIDERATIONS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2"/>
        <w:gridCol w:w="3212"/>
        <w:gridCol w:w="3214"/>
      </w:tblGrid>
      <w:tr w:rsidR="003B3352" w14:paraId="4018A7FE" w14:textId="77777777">
        <w:tblPrEx>
          <w:tblCellMar>
            <w:top w:w="0" w:type="dxa"/>
            <w:bottom w:w="0" w:type="dxa"/>
          </w:tblCellMar>
        </w:tblPrEx>
        <w:trPr>
          <w:tblHeader/>
        </w:trPr>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01E1EB4E" w14:textId="77777777" w:rsidR="003B3352" w:rsidRDefault="00000000">
            <w:pPr>
              <w:spacing w:line="264" w:lineRule="auto"/>
            </w:pPr>
            <w:r>
              <w:rPr>
                <w:b/>
                <w:bCs/>
                <w:color w:val="FFFFFF"/>
                <w:sz w:val="19"/>
                <w:szCs w:val="19"/>
              </w:rPr>
              <w:t>Risk</w:t>
            </w:r>
          </w:p>
        </w:tc>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530CCD3A" w14:textId="77777777" w:rsidR="003B3352" w:rsidRDefault="00000000">
            <w:pPr>
              <w:spacing w:line="264" w:lineRule="auto"/>
            </w:pPr>
            <w:r>
              <w:rPr>
                <w:b/>
                <w:bCs/>
                <w:color w:val="FFFFFF"/>
                <w:sz w:val="19"/>
                <w:szCs w:val="19"/>
              </w:rPr>
              <w:t>Description</w:t>
            </w:r>
          </w:p>
        </w:tc>
        <w:tc>
          <w:tcPr>
            <w:tcW w:w="3214"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D2A0543" w14:textId="77777777" w:rsidR="003B3352" w:rsidRDefault="00000000">
            <w:pPr>
              <w:spacing w:line="264" w:lineRule="auto"/>
            </w:pPr>
            <w:r>
              <w:rPr>
                <w:b/>
                <w:bCs/>
                <w:color w:val="FFFFFF"/>
                <w:sz w:val="19"/>
                <w:szCs w:val="19"/>
              </w:rPr>
              <w:t>Mitigation</w:t>
            </w:r>
          </w:p>
        </w:tc>
      </w:tr>
      <w:tr w:rsidR="003B3352" w14:paraId="6391AA4F"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CF18E26" w14:textId="77777777" w:rsidR="003B3352" w:rsidRDefault="00000000">
            <w:pPr>
              <w:spacing w:line="264" w:lineRule="auto"/>
            </w:pPr>
            <w:r>
              <w:rPr>
                <w:b/>
                <w:bCs/>
                <w:sz w:val="19"/>
                <w:szCs w:val="19"/>
              </w:rPr>
              <w:t>Overbreadth</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9E6F73C" w14:textId="77777777" w:rsidR="003B3352" w:rsidRDefault="00000000">
            <w:pPr>
              <w:spacing w:line="264" w:lineRule="auto"/>
            </w:pPr>
            <w:r>
              <w:rPr>
                <w:sz w:val="19"/>
                <w:szCs w:val="19"/>
              </w:rPr>
              <w:t>Privacy advocates characterize the safe harbor as a blanket exemption for hardware companies</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CA791D0" w14:textId="77777777" w:rsidR="003B3352" w:rsidRDefault="00000000">
            <w:pPr>
              <w:spacing w:line="264" w:lineRule="auto"/>
            </w:pPr>
            <w:r>
              <w:rPr>
                <w:sz w:val="19"/>
                <w:szCs w:val="19"/>
              </w:rPr>
              <w:t>Draft the safe harbor with strict conditions: no external transmission, automatic purging, attestation, auditing. This is narrower than a general "on-device" exemption.</w:t>
            </w:r>
          </w:p>
        </w:tc>
      </w:tr>
      <w:tr w:rsidR="003B3352" w14:paraId="659389EF"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663F790E" w14:textId="77777777" w:rsidR="003B3352" w:rsidRDefault="00000000">
            <w:pPr>
              <w:spacing w:line="264" w:lineRule="auto"/>
            </w:pPr>
            <w:r>
              <w:rPr>
                <w:b/>
                <w:bCs/>
                <w:sz w:val="19"/>
                <w:szCs w:val="19"/>
              </w:rPr>
              <w:t>Definitional gaming</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C13FE8E" w14:textId="77777777" w:rsidR="003B3352" w:rsidRDefault="00000000">
            <w:pPr>
              <w:spacing w:line="264" w:lineRule="auto"/>
            </w:pPr>
            <w:r>
              <w:rPr>
                <w:sz w:val="19"/>
                <w:szCs w:val="19"/>
              </w:rPr>
              <w:t>Companies label software environments as "hardware-enforced" to access the safe harbor</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61959B7" w14:textId="77777777" w:rsidR="003B3352" w:rsidRDefault="00000000">
            <w:pPr>
              <w:spacing w:line="264" w:lineRule="auto"/>
            </w:pPr>
            <w:r>
              <w:rPr>
                <w:sz w:val="19"/>
                <w:szCs w:val="19"/>
              </w:rPr>
              <w:t>Require FTC/NIST technical criteria and third-party attestation; define "hardware-enforced" by reference to NIST IR 8320 standards.</w:t>
            </w:r>
          </w:p>
        </w:tc>
      </w:tr>
      <w:tr w:rsidR="003B3352" w14:paraId="32D0ED0A"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81F8876" w14:textId="77777777" w:rsidR="003B3352" w:rsidRDefault="00000000">
            <w:pPr>
              <w:spacing w:line="264" w:lineRule="auto"/>
            </w:pPr>
            <w:r>
              <w:rPr>
                <w:b/>
                <w:bCs/>
                <w:sz w:val="19"/>
                <w:szCs w:val="19"/>
              </w:rPr>
              <w:t>Preemption backlash</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CC313A0" w14:textId="77777777" w:rsidR="003B3352" w:rsidRDefault="00000000">
            <w:pPr>
              <w:spacing w:line="264" w:lineRule="auto"/>
            </w:pPr>
            <w:r>
              <w:rPr>
                <w:sz w:val="19"/>
                <w:szCs w:val="19"/>
              </w:rPr>
              <w:t>State AGs and NCSL oppose preemption, arguing the safe harbor weakens state protections</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2D4A52A" w14:textId="77777777" w:rsidR="003B3352" w:rsidRDefault="00000000">
            <w:pPr>
              <w:spacing w:line="264" w:lineRule="auto"/>
            </w:pPr>
            <w:r>
              <w:rPr>
                <w:sz w:val="19"/>
                <w:szCs w:val="19"/>
              </w:rPr>
              <w:t>Frame the safe harbor as setting a higher standard than any state law; data that never leaves a secure enclave achieves stricter minimization than any state's "necessary" standard.</w:t>
            </w:r>
          </w:p>
        </w:tc>
      </w:tr>
      <w:tr w:rsidR="003B3352" w14:paraId="72AF5E54"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42255A1" w14:textId="77777777" w:rsidR="003B3352" w:rsidRDefault="00000000">
            <w:pPr>
              <w:spacing w:line="264" w:lineRule="auto"/>
            </w:pPr>
            <w:r>
              <w:rPr>
                <w:b/>
                <w:bCs/>
                <w:sz w:val="19"/>
                <w:szCs w:val="19"/>
              </w:rPr>
              <w:t>Partisan framing</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43BC66D" w14:textId="77777777" w:rsidR="003B3352" w:rsidRDefault="00000000">
            <w:pPr>
              <w:spacing w:line="264" w:lineRule="auto"/>
            </w:pPr>
            <w:r>
              <w:rPr>
                <w:sz w:val="19"/>
                <w:szCs w:val="19"/>
              </w:rPr>
              <w:t>Democrats view the provision as industry-drafted; Republicans view it as unnecessary regulation</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437FB46" w14:textId="77777777" w:rsidR="003B3352" w:rsidRDefault="00000000">
            <w:pPr>
              <w:spacing w:line="264" w:lineRule="auto"/>
            </w:pPr>
            <w:r>
              <w:rPr>
                <w:sz w:val="19"/>
                <w:szCs w:val="19"/>
              </w:rPr>
              <w:t>Build bipartisan support: the definition provides certainty (R priority), the safe harbor rewards privacy investment (D priority). Align with CHIPS Act narrative (bipartisan).</w:t>
            </w:r>
          </w:p>
        </w:tc>
      </w:tr>
      <w:tr w:rsidR="003B3352" w14:paraId="652CB23E"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CC2BBAB" w14:textId="77777777" w:rsidR="003B3352" w:rsidRDefault="00000000">
            <w:pPr>
              <w:spacing w:line="264" w:lineRule="auto"/>
            </w:pPr>
            <w:r>
              <w:rPr>
                <w:b/>
                <w:bCs/>
                <w:sz w:val="19"/>
                <w:szCs w:val="19"/>
              </w:rPr>
              <w:t>FTC implementation delay</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5A67266" w14:textId="77777777" w:rsidR="003B3352" w:rsidRDefault="00000000">
            <w:pPr>
              <w:spacing w:line="264" w:lineRule="auto"/>
            </w:pPr>
            <w:r>
              <w:rPr>
                <w:sz w:val="19"/>
                <w:szCs w:val="19"/>
              </w:rPr>
              <w:t>FTC fails to issue criteria within the mandated timeframe, leaving the safe harbor inoperative</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D7FA6BF" w14:textId="77777777" w:rsidR="003B3352" w:rsidRDefault="00000000">
            <w:pPr>
              <w:spacing w:line="264" w:lineRule="auto"/>
            </w:pPr>
            <w:r>
              <w:rPr>
                <w:sz w:val="19"/>
                <w:szCs w:val="19"/>
              </w:rPr>
              <w:t>Include a statutory backstop: if the FTC does not issue criteria within 18 months, NIST IR 8320 standards serve as interim criteria.</w:t>
            </w:r>
          </w:p>
        </w:tc>
      </w:tr>
    </w:tbl>
    <w:p w14:paraId="7EBEF1F3" w14:textId="77777777" w:rsidR="003B3352" w:rsidRDefault="003B3352">
      <w:pPr>
        <w:spacing w:after="80"/>
      </w:pPr>
    </w:p>
    <w:p w14:paraId="7E54FA06" w14:textId="77777777" w:rsidR="003B3352" w:rsidRDefault="003B3352">
      <w:pPr>
        <w:pBdr>
          <w:bottom w:val="single" w:sz="4" w:space="2" w:color="D0D0D0"/>
        </w:pBdr>
        <w:spacing w:after="100"/>
      </w:pPr>
    </w:p>
    <w:p w14:paraId="1D08B709" w14:textId="77777777" w:rsidR="003B3352" w:rsidRDefault="00000000">
      <w:pPr>
        <w:pStyle w:val="Heading2"/>
      </w:pPr>
      <w:r>
        <w:t>9. CONCLUSIONS &amp; RECOMMENDATIONS</w:t>
      </w:r>
    </w:p>
    <w:p w14:paraId="72629BAC" w14:textId="77777777" w:rsidR="003B3352" w:rsidRDefault="00000000">
      <w:pPr>
        <w:spacing w:after="140" w:line="276" w:lineRule="auto"/>
      </w:pPr>
      <w:r>
        <w:rPr>
          <w:b/>
          <w:bCs/>
        </w:rPr>
        <w:t>Recommendation 1:</w:t>
      </w:r>
      <w:r>
        <w:t xml:space="preserve"> The House Energy and Commerce Committee Data Privacy Working Group should include, in the statutory text of the 119th Congress privacy bill, a bounded definition of "necessary" data processing that enumerates recognized categories including product functionality, device security, fraud prevention, and on-device processing — ensuring that the definition is workable across technology sectors while remaining bounded against abuse.</w:t>
      </w:r>
    </w:p>
    <w:p w14:paraId="4BFB19A8" w14:textId="77777777" w:rsidR="003B3352" w:rsidRDefault="00000000">
      <w:pPr>
        <w:spacing w:after="140" w:line="276" w:lineRule="auto"/>
      </w:pPr>
      <w:r>
        <w:rPr>
          <w:b/>
          <w:bCs/>
        </w:rPr>
        <w:t>Recommendation 2:</w:t>
      </w:r>
      <w:r>
        <w:t xml:space="preserve"> The Working Group should include a statutory safe harbor provision establishing that covered data processed entirely within a hardware-enforced privacy environment — meeting FTC/NIST-specified criteria for non-transmission, automatic purging, attestation, and audit — is deemed compliant with the Act's data minimization requirements.</w:t>
      </w:r>
    </w:p>
    <w:p w14:paraId="7B142BC0" w14:textId="77777777" w:rsidR="003B3352" w:rsidRDefault="00000000">
      <w:pPr>
        <w:spacing w:after="140" w:line="276" w:lineRule="auto"/>
      </w:pPr>
      <w:r>
        <w:rPr>
          <w:b/>
          <w:bCs/>
        </w:rPr>
        <w:t>Recommendation 3:</w:t>
      </w:r>
      <w:r>
        <w:t xml:space="preserve"> The Committee should direct the FTC, in consultation with NIST, to publish within 18 months of enactment the technical criteria for qualifying hardware-enforced privacy environments, building on the existing NIST IR 8320 series on hardware-enabled security.</w:t>
      </w:r>
    </w:p>
    <w:p w14:paraId="4FDF7044" w14:textId="77777777" w:rsidR="003B3352" w:rsidRDefault="00000000">
      <w:pPr>
        <w:spacing w:after="140" w:line="276" w:lineRule="auto"/>
      </w:pPr>
      <w:r>
        <w:rPr>
          <w:b/>
          <w:bCs/>
        </w:rPr>
        <w:t>Recommendation 4:</w:t>
      </w:r>
      <w:r>
        <w:t xml:space="preserve"> The Committee should include in its report language an explicit statement that hardware-enforced privacy controls represent the strongest available implementation of the data minimization principle, and that the safe harbor is intended to incentivize continued American leadership in privacy-protective semiconductor design.</w:t>
      </w:r>
    </w:p>
    <w:p w14:paraId="49E2C2EF" w14:textId="77777777" w:rsidR="003B3352" w:rsidRDefault="00000000">
      <w:pPr>
        <w:spacing w:after="140" w:line="276" w:lineRule="auto"/>
      </w:pPr>
      <w:r>
        <w:rPr>
          <w:b/>
          <w:bCs/>
        </w:rPr>
        <w:lastRenderedPageBreak/>
        <w:t>Recommendation 5:</w:t>
      </w:r>
      <w:r>
        <w:t xml:space="preserve"> Congress should ensure that the privacy bill's preemption provision expressly covers the hardware safe harbor, so that no state law can impose a different or conflicting compliance standard on hardware-level data processing that meets the federal criteria.</w:t>
      </w:r>
    </w:p>
    <w:p w14:paraId="1B5D29B0" w14:textId="77777777" w:rsidR="003B3352" w:rsidRDefault="00000000">
      <w:pPr>
        <w:spacing w:after="140" w:line="276" w:lineRule="auto"/>
      </w:pPr>
      <w:r>
        <w:t>The semiconductor industry has built the most structurally rigorous privacy protections available in any technology. The question before the Working Group is whether American law will recognize — and reward — that investment, or whether it will leave the most advanced privacy technology in the world in a regulatory void.</w:t>
      </w:r>
    </w:p>
    <w:p w14:paraId="6014F6C3" w14:textId="77777777" w:rsidR="003B3352" w:rsidRDefault="003B3352">
      <w:pPr>
        <w:pBdr>
          <w:bottom w:val="single" w:sz="4" w:space="2" w:color="D0D0D0"/>
        </w:pBdr>
        <w:spacing w:after="100"/>
      </w:pPr>
    </w:p>
    <w:p w14:paraId="1F4B8F07" w14:textId="77777777" w:rsidR="003B3352" w:rsidRDefault="00000000">
      <w:pPr>
        <w:pStyle w:val="Heading2"/>
      </w:pPr>
      <w:r>
        <w:t>ANNEX A: Supporting Data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2"/>
        <w:gridCol w:w="3212"/>
        <w:gridCol w:w="3214"/>
      </w:tblGrid>
      <w:tr w:rsidR="003B3352" w14:paraId="40760732" w14:textId="77777777">
        <w:tblPrEx>
          <w:tblCellMar>
            <w:top w:w="0" w:type="dxa"/>
            <w:bottom w:w="0" w:type="dxa"/>
          </w:tblCellMar>
        </w:tblPrEx>
        <w:trPr>
          <w:tblHeader/>
        </w:trPr>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30BAC082" w14:textId="77777777" w:rsidR="003B3352" w:rsidRDefault="00000000">
            <w:pPr>
              <w:spacing w:line="264" w:lineRule="auto"/>
            </w:pPr>
            <w:r>
              <w:rPr>
                <w:b/>
                <w:bCs/>
                <w:color w:val="FFFFFF"/>
                <w:sz w:val="19"/>
                <w:szCs w:val="19"/>
              </w:rPr>
              <w:t>Metric</w:t>
            </w:r>
          </w:p>
        </w:tc>
        <w:tc>
          <w:tcPr>
            <w:tcW w:w="3212"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07780137" w14:textId="77777777" w:rsidR="003B3352" w:rsidRDefault="00000000">
            <w:pPr>
              <w:spacing w:line="264" w:lineRule="auto"/>
            </w:pPr>
            <w:r>
              <w:rPr>
                <w:b/>
                <w:bCs/>
                <w:color w:val="FFFFFF"/>
                <w:sz w:val="19"/>
                <w:szCs w:val="19"/>
              </w:rPr>
              <w:t>Value</w:t>
            </w:r>
          </w:p>
        </w:tc>
        <w:tc>
          <w:tcPr>
            <w:tcW w:w="3214"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21D3411F" w14:textId="77777777" w:rsidR="003B3352" w:rsidRDefault="00000000">
            <w:pPr>
              <w:spacing w:line="264" w:lineRule="auto"/>
            </w:pPr>
            <w:r>
              <w:rPr>
                <w:b/>
                <w:bCs/>
                <w:color w:val="FFFFFF"/>
                <w:sz w:val="19"/>
                <w:szCs w:val="19"/>
              </w:rPr>
              <w:t>Source</w:t>
            </w:r>
          </w:p>
        </w:tc>
      </w:tr>
      <w:tr w:rsidR="003B3352" w14:paraId="0D04FE0E"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AFEE734" w14:textId="77777777" w:rsidR="003B3352" w:rsidRDefault="00000000">
            <w:pPr>
              <w:spacing w:line="264" w:lineRule="auto"/>
            </w:pPr>
            <w:r>
              <w:rPr>
                <w:sz w:val="19"/>
                <w:szCs w:val="19"/>
              </w:rPr>
              <w:t>Global semiconductor sales, 2025</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FF867CA" w14:textId="77777777" w:rsidR="003B3352" w:rsidRDefault="00000000">
            <w:pPr>
              <w:spacing w:line="264" w:lineRule="auto"/>
            </w:pPr>
            <w:r>
              <w:rPr>
                <w:sz w:val="19"/>
                <w:szCs w:val="19"/>
              </w:rPr>
              <w:t>$791.7 billion</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7B2AF8A" w14:textId="77777777" w:rsidR="003B3352" w:rsidRDefault="00000000">
            <w:pPr>
              <w:spacing w:line="264" w:lineRule="auto"/>
            </w:pPr>
            <w:hyperlink r:id="rId13" w:history="1">
              <w:r>
                <w:rPr>
                  <w:color w:val="1155CC"/>
                  <w:sz w:val="19"/>
                  <w:szCs w:val="19"/>
                  <w:u w:val="single" w:color="1155CC"/>
                </w:rPr>
                <w:t>SIA, February 2026</w:t>
              </w:r>
            </w:hyperlink>
          </w:p>
        </w:tc>
      </w:tr>
      <w:tr w:rsidR="003B3352" w14:paraId="0474C68E"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393060D" w14:textId="77777777" w:rsidR="003B3352" w:rsidRDefault="00000000">
            <w:pPr>
              <w:spacing w:line="264" w:lineRule="auto"/>
            </w:pPr>
            <w:r>
              <w:rPr>
                <w:sz w:val="19"/>
                <w:szCs w:val="19"/>
              </w:rPr>
              <w:t>Year-over-year growth, 2025</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A5BE596" w14:textId="77777777" w:rsidR="003B3352" w:rsidRDefault="00000000">
            <w:pPr>
              <w:spacing w:line="264" w:lineRule="auto"/>
            </w:pPr>
            <w:r>
              <w:rPr>
                <w:sz w:val="19"/>
                <w:szCs w:val="19"/>
              </w:rPr>
              <w:t>25.6%</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2835C33" w14:textId="77777777" w:rsidR="003B3352" w:rsidRDefault="00000000">
            <w:pPr>
              <w:spacing w:line="264" w:lineRule="auto"/>
            </w:pPr>
            <w:hyperlink r:id="rId14" w:history="1">
              <w:r>
                <w:rPr>
                  <w:color w:val="1155CC"/>
                  <w:sz w:val="19"/>
                  <w:szCs w:val="19"/>
                  <w:u w:val="single" w:color="1155CC"/>
                </w:rPr>
                <w:t>SIA, February 2026</w:t>
              </w:r>
            </w:hyperlink>
          </w:p>
        </w:tc>
      </w:tr>
      <w:tr w:rsidR="003B3352" w14:paraId="6929E047"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EF1E7A5" w14:textId="77777777" w:rsidR="003B3352" w:rsidRDefault="00000000">
            <w:pPr>
              <w:spacing w:line="264" w:lineRule="auto"/>
            </w:pPr>
            <w:r>
              <w:rPr>
                <w:sz w:val="19"/>
                <w:szCs w:val="19"/>
              </w:rPr>
              <w:t>U.S. share of global semiconductor revenue</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715055EF" w14:textId="77777777" w:rsidR="003B3352" w:rsidRDefault="00000000">
            <w:pPr>
              <w:spacing w:line="264" w:lineRule="auto"/>
            </w:pPr>
            <w:r>
              <w:rPr>
                <w:sz w:val="19"/>
                <w:szCs w:val="19"/>
              </w:rPr>
              <w:t>50.4% ($318B in 2024)</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1FD9AD6" w14:textId="77777777" w:rsidR="003B3352" w:rsidRDefault="00000000">
            <w:pPr>
              <w:spacing w:line="264" w:lineRule="auto"/>
            </w:pPr>
            <w:hyperlink r:id="rId15" w:history="1">
              <w:r>
                <w:rPr>
                  <w:color w:val="1155CC"/>
                  <w:sz w:val="19"/>
                  <w:szCs w:val="19"/>
                  <w:u w:val="single" w:color="1155CC"/>
                </w:rPr>
                <w:t>SIA State of the Industry 2025</w:t>
              </w:r>
            </w:hyperlink>
          </w:p>
        </w:tc>
      </w:tr>
      <w:tr w:rsidR="003B3352" w14:paraId="376771A1"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68DEA26" w14:textId="77777777" w:rsidR="003B3352" w:rsidRDefault="00000000">
            <w:pPr>
              <w:spacing w:line="264" w:lineRule="auto"/>
            </w:pPr>
            <w:r>
              <w:rPr>
                <w:sz w:val="19"/>
                <w:szCs w:val="19"/>
              </w:rPr>
              <w:t>U.S. semiconductor R&amp;D investment, 2024</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0D5C6BEE" w14:textId="77777777" w:rsidR="003B3352" w:rsidRDefault="00000000">
            <w:pPr>
              <w:spacing w:line="264" w:lineRule="auto"/>
            </w:pPr>
            <w:r>
              <w:rPr>
                <w:sz w:val="19"/>
                <w:szCs w:val="19"/>
              </w:rPr>
              <w:t>$62.7 billion</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DA53ED0" w14:textId="77777777" w:rsidR="003B3352" w:rsidRDefault="00000000">
            <w:pPr>
              <w:spacing w:line="264" w:lineRule="auto"/>
            </w:pPr>
            <w:hyperlink r:id="rId16" w:history="1">
              <w:r>
                <w:rPr>
                  <w:color w:val="1155CC"/>
                  <w:sz w:val="19"/>
                  <w:szCs w:val="19"/>
                  <w:u w:val="single" w:color="1155CC"/>
                </w:rPr>
                <w:t>SIA State of the Industry 2025</w:t>
              </w:r>
            </w:hyperlink>
          </w:p>
        </w:tc>
      </w:tr>
      <w:tr w:rsidR="003B3352" w14:paraId="653227DA"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67EEC95" w14:textId="77777777" w:rsidR="003B3352" w:rsidRDefault="00000000">
            <w:pPr>
              <w:spacing w:line="264" w:lineRule="auto"/>
            </w:pPr>
            <w:r>
              <w:rPr>
                <w:sz w:val="19"/>
                <w:szCs w:val="19"/>
              </w:rPr>
              <w:t>CHIPS Act manufacturing grants</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E46C15C" w14:textId="77777777" w:rsidR="003B3352" w:rsidRDefault="00000000">
            <w:pPr>
              <w:spacing w:line="264" w:lineRule="auto"/>
            </w:pPr>
            <w:r>
              <w:rPr>
                <w:sz w:val="19"/>
                <w:szCs w:val="19"/>
              </w:rPr>
              <w:t>$39 billion</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B74A6DD" w14:textId="77777777" w:rsidR="003B3352" w:rsidRDefault="00000000">
            <w:pPr>
              <w:spacing w:line="264" w:lineRule="auto"/>
            </w:pPr>
            <w:hyperlink r:id="rId17" w:history="1">
              <w:r>
                <w:rPr>
                  <w:color w:val="1155CC"/>
                  <w:sz w:val="19"/>
                  <w:szCs w:val="19"/>
                  <w:u w:val="single" w:color="1155CC"/>
                </w:rPr>
                <w:t>SIA State of the Industry 2025</w:t>
              </w:r>
            </w:hyperlink>
          </w:p>
        </w:tc>
      </w:tr>
      <w:tr w:rsidR="003B3352" w14:paraId="56C28DBF"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02FBF8B" w14:textId="77777777" w:rsidR="003B3352" w:rsidRDefault="00000000">
            <w:pPr>
              <w:spacing w:line="264" w:lineRule="auto"/>
            </w:pPr>
            <w:r>
              <w:rPr>
                <w:sz w:val="19"/>
                <w:szCs w:val="19"/>
              </w:rPr>
              <w:t>States with comprehensive privacy laws (mid-2025)</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2D4202C" w14:textId="77777777" w:rsidR="003B3352" w:rsidRDefault="00000000">
            <w:pPr>
              <w:spacing w:line="264" w:lineRule="auto"/>
            </w:pPr>
            <w:r>
              <w:rPr>
                <w:sz w:val="19"/>
                <w:szCs w:val="19"/>
              </w:rPr>
              <w:t>19</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EE3084F" w14:textId="77777777" w:rsidR="003B3352" w:rsidRDefault="00000000">
            <w:pPr>
              <w:spacing w:line="264" w:lineRule="auto"/>
            </w:pPr>
            <w:hyperlink r:id="rId18" w:history="1">
              <w:proofErr w:type="spellStart"/>
              <w:r>
                <w:rPr>
                  <w:color w:val="1155CC"/>
                  <w:sz w:val="19"/>
                  <w:szCs w:val="19"/>
                  <w:u w:val="single" w:color="1155CC"/>
                </w:rPr>
                <w:t>Kiteworks</w:t>
              </w:r>
              <w:proofErr w:type="spellEnd"/>
              <w:r>
                <w:rPr>
                  <w:color w:val="1155CC"/>
                  <w:sz w:val="19"/>
                  <w:szCs w:val="19"/>
                  <w:u w:val="single" w:color="1155CC"/>
                </w:rPr>
                <w:t>, 2025</w:t>
              </w:r>
            </w:hyperlink>
          </w:p>
        </w:tc>
      </w:tr>
      <w:tr w:rsidR="003B3352" w14:paraId="4C5943BA"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0C4CA6F" w14:textId="77777777" w:rsidR="003B3352" w:rsidRDefault="00000000">
            <w:pPr>
              <w:spacing w:line="264" w:lineRule="auto"/>
            </w:pPr>
            <w:r>
              <w:rPr>
                <w:sz w:val="19"/>
                <w:szCs w:val="19"/>
              </w:rPr>
              <w:t>States amending privacy laws in 2025</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896A2F9" w14:textId="77777777" w:rsidR="003B3352" w:rsidRDefault="00000000">
            <w:pPr>
              <w:spacing w:line="264" w:lineRule="auto"/>
            </w:pPr>
            <w:r>
              <w:rPr>
                <w:sz w:val="19"/>
                <w:szCs w:val="19"/>
              </w:rPr>
              <w:t>8</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5F6E919" w14:textId="77777777" w:rsidR="003B3352" w:rsidRDefault="00000000">
            <w:pPr>
              <w:spacing w:line="264" w:lineRule="auto"/>
            </w:pPr>
            <w:hyperlink r:id="rId19" w:history="1">
              <w:proofErr w:type="spellStart"/>
              <w:r>
                <w:rPr>
                  <w:color w:val="1155CC"/>
                  <w:sz w:val="19"/>
                  <w:szCs w:val="19"/>
                  <w:u w:val="single" w:color="1155CC"/>
                </w:rPr>
                <w:t>Kiteworks</w:t>
              </w:r>
              <w:proofErr w:type="spellEnd"/>
              <w:r>
                <w:rPr>
                  <w:color w:val="1155CC"/>
                  <w:sz w:val="19"/>
                  <w:szCs w:val="19"/>
                  <w:u w:val="single" w:color="1155CC"/>
                </w:rPr>
                <w:t>, 2025</w:t>
              </w:r>
            </w:hyperlink>
          </w:p>
        </w:tc>
      </w:tr>
      <w:tr w:rsidR="003B3352" w14:paraId="73F12B91"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7881E6C" w14:textId="77777777" w:rsidR="003B3352" w:rsidRDefault="00000000">
            <w:pPr>
              <w:spacing w:line="264" w:lineRule="auto"/>
            </w:pPr>
            <w:r>
              <w:rPr>
                <w:sz w:val="19"/>
                <w:szCs w:val="19"/>
              </w:rPr>
              <w:t>Projected 2026 global semiconductor sales</w:t>
            </w:r>
          </w:p>
        </w:tc>
        <w:tc>
          <w:tcPr>
            <w:tcW w:w="3212"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5C03E5A2" w14:textId="77777777" w:rsidR="003B3352" w:rsidRDefault="00000000">
            <w:pPr>
              <w:spacing w:line="264" w:lineRule="auto"/>
            </w:pPr>
            <w:r>
              <w:rPr>
                <w:sz w:val="19"/>
                <w:szCs w:val="19"/>
              </w:rPr>
              <w:t>~$975 billion</w:t>
            </w:r>
          </w:p>
        </w:tc>
        <w:tc>
          <w:tcPr>
            <w:tcW w:w="3214"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1C8D4DDF" w14:textId="77777777" w:rsidR="003B3352" w:rsidRDefault="00000000">
            <w:pPr>
              <w:spacing w:line="264" w:lineRule="auto"/>
            </w:pPr>
            <w:hyperlink r:id="rId20" w:history="1">
              <w:r>
                <w:rPr>
                  <w:color w:val="1155CC"/>
                  <w:sz w:val="19"/>
                  <w:szCs w:val="19"/>
                  <w:u w:val="single" w:color="1155CC"/>
                </w:rPr>
                <w:t>SIA/WSTS, December 2025</w:t>
              </w:r>
            </w:hyperlink>
          </w:p>
        </w:tc>
      </w:tr>
      <w:tr w:rsidR="003B3352" w14:paraId="7BAA116B" w14:textId="77777777">
        <w:tblPrEx>
          <w:tblCellMar>
            <w:top w:w="0" w:type="dxa"/>
            <w:bottom w:w="0" w:type="dxa"/>
          </w:tblCellMar>
        </w:tblPrEx>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621456D" w14:textId="77777777" w:rsidR="003B3352" w:rsidRDefault="00000000">
            <w:pPr>
              <w:spacing w:line="264" w:lineRule="auto"/>
            </w:pPr>
            <w:r>
              <w:rPr>
                <w:sz w:val="19"/>
                <w:szCs w:val="19"/>
              </w:rPr>
              <w:t>Private-sector semiconductor investment announced (28 states)</w:t>
            </w:r>
          </w:p>
        </w:tc>
        <w:tc>
          <w:tcPr>
            <w:tcW w:w="3212"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457121DE" w14:textId="77777777" w:rsidR="003B3352" w:rsidRDefault="00000000">
            <w:pPr>
              <w:spacing w:line="264" w:lineRule="auto"/>
            </w:pPr>
            <w:r>
              <w:rPr>
                <w:sz w:val="19"/>
                <w:szCs w:val="19"/>
              </w:rPr>
              <w:t>$500+ billion</w:t>
            </w:r>
          </w:p>
        </w:tc>
        <w:tc>
          <w:tcPr>
            <w:tcW w:w="3214"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202D0F20" w14:textId="77777777" w:rsidR="003B3352" w:rsidRDefault="00000000">
            <w:pPr>
              <w:spacing w:line="264" w:lineRule="auto"/>
            </w:pPr>
            <w:hyperlink r:id="rId21" w:history="1">
              <w:r>
                <w:rPr>
                  <w:color w:val="1155CC"/>
                  <w:sz w:val="19"/>
                  <w:szCs w:val="19"/>
                  <w:u w:val="single" w:color="1155CC"/>
                </w:rPr>
                <w:t>SIA State of the Industry 2025</w:t>
              </w:r>
            </w:hyperlink>
          </w:p>
        </w:tc>
      </w:tr>
    </w:tbl>
    <w:p w14:paraId="466B2B0F" w14:textId="77777777" w:rsidR="003B3352" w:rsidRDefault="003B3352">
      <w:pPr>
        <w:spacing w:after="80"/>
      </w:pPr>
    </w:p>
    <w:p w14:paraId="185FBB96" w14:textId="77777777" w:rsidR="003B3352" w:rsidRDefault="003B3352">
      <w:pPr>
        <w:pBdr>
          <w:bottom w:val="single" w:sz="4" w:space="2" w:color="D0D0D0"/>
        </w:pBdr>
        <w:spacing w:after="100"/>
      </w:pPr>
    </w:p>
    <w:p w14:paraId="2BAC3ADE" w14:textId="77777777" w:rsidR="003B3352" w:rsidRDefault="00000000">
      <w:pPr>
        <w:pStyle w:val="Heading2"/>
      </w:pPr>
      <w:r>
        <w:t>ANNEX B: Draft Legislative Language</w:t>
      </w:r>
    </w:p>
    <w:p w14:paraId="095B142B" w14:textId="77777777" w:rsidR="003B3352" w:rsidRDefault="00000000">
      <w:pPr>
        <w:spacing w:before="160" w:after="80"/>
      </w:pPr>
      <w:r>
        <w:rPr>
          <w:b/>
          <w:bCs/>
          <w:color w:val="1B2B4B"/>
          <w:sz w:val="23"/>
          <w:szCs w:val="23"/>
        </w:rPr>
        <w:t>Section ___. Definition of Necessary Processing.</w:t>
      </w:r>
    </w:p>
    <w:p w14:paraId="06216DF9" w14:textId="77777777" w:rsidR="003B3352" w:rsidRDefault="00000000">
      <w:pPr>
        <w:spacing w:after="140" w:line="276" w:lineRule="auto"/>
      </w:pPr>
      <w:r>
        <w:t>For purposes of this Act, covered data processing is "necessary" if it is reasonably required for one or more of the following purposes:</w:t>
      </w:r>
    </w:p>
    <w:p w14:paraId="4B848D59" w14:textId="77777777" w:rsidR="003B3352" w:rsidRDefault="00000000">
      <w:pPr>
        <w:spacing w:after="140" w:line="276" w:lineRule="auto"/>
      </w:pPr>
      <w:r>
        <w:t>(1) To provide, maintain, support, or improve a specific product, service, or feature requested by the individual;</w:t>
      </w:r>
    </w:p>
    <w:p w14:paraId="372F6966" w14:textId="77777777" w:rsidR="003B3352" w:rsidRDefault="00000000">
      <w:pPr>
        <w:spacing w:after="140" w:line="276" w:lineRule="auto"/>
      </w:pPr>
      <w:r>
        <w:t>(2) To ensure the security, integrity, reliability, or functional performance of the device, system, or network on which the product or service operates;</w:t>
      </w:r>
    </w:p>
    <w:p w14:paraId="30EB2E45" w14:textId="77777777" w:rsidR="003B3352" w:rsidRDefault="00000000">
      <w:pPr>
        <w:spacing w:after="140" w:line="276" w:lineRule="auto"/>
      </w:pPr>
      <w:r>
        <w:t>(3) To comply with a legal obligation applicable to the covered entity under federal, state, or international law;</w:t>
      </w:r>
    </w:p>
    <w:p w14:paraId="495ADA18" w14:textId="77777777" w:rsidR="003B3352" w:rsidRDefault="00000000">
      <w:pPr>
        <w:spacing w:after="140" w:line="276" w:lineRule="auto"/>
      </w:pPr>
      <w:r>
        <w:t>(4) To prevent, detect, or respond to fraud, unauthorized activity, or security incidents, including authentication and identity verification;</w:t>
      </w:r>
    </w:p>
    <w:p w14:paraId="3D6D9A11" w14:textId="77777777" w:rsidR="003B3352" w:rsidRDefault="00000000">
      <w:pPr>
        <w:spacing w:after="140" w:line="276" w:lineRule="auto"/>
      </w:pPr>
      <w:r>
        <w:lastRenderedPageBreak/>
        <w:t>(5) To perform processing entirely within a hardware-enforced processing environment that meets the criteria described in Section ___ [Safe Harbor], where such processing serves a purpose described in paragraph (1) or (2).</w:t>
      </w:r>
    </w:p>
    <w:p w14:paraId="30BC65BA" w14:textId="77777777" w:rsidR="003B3352" w:rsidRDefault="00000000">
      <w:pPr>
        <w:spacing w:before="160" w:after="80"/>
      </w:pPr>
      <w:r>
        <w:rPr>
          <w:b/>
          <w:bCs/>
          <w:color w:val="1B2B4B"/>
          <w:sz w:val="23"/>
          <w:szCs w:val="23"/>
        </w:rPr>
        <w:t>Section ___. Safe Harbor for Hardware-Enforced Privacy Controls.</w:t>
      </w:r>
    </w:p>
    <w:p w14:paraId="46976B75" w14:textId="77777777" w:rsidR="003B3352" w:rsidRDefault="00000000">
      <w:pPr>
        <w:spacing w:after="140" w:line="276" w:lineRule="auto"/>
      </w:pPr>
      <w:r>
        <w:t>(a) A covered entity shall be deemed in compliance with Section ___ [Data Minimization] with respect to any covered data that is processed entirely within a qualifying hardware-enforced privacy environment, provided that —</w:t>
      </w:r>
    </w:p>
    <w:p w14:paraId="3A024E02" w14:textId="77777777" w:rsidR="003B3352" w:rsidRDefault="00000000">
      <w:pPr>
        <w:spacing w:after="140" w:line="276" w:lineRule="auto"/>
      </w:pPr>
      <w:r>
        <w:t>(1) The covered data is not transmitted, stored, or made accessible outside the hardware-enforced environment during or after processing;</w:t>
      </w:r>
    </w:p>
    <w:p w14:paraId="057768CA" w14:textId="77777777" w:rsidR="003B3352" w:rsidRDefault="00000000">
      <w:pPr>
        <w:spacing w:after="140" w:line="276" w:lineRule="auto"/>
      </w:pPr>
      <w:r>
        <w:t>(2) The covered data is automatically deleted or rendered irretrievable upon completion of the processing operation, or within a timeframe established by the Commission;</w:t>
      </w:r>
    </w:p>
    <w:p w14:paraId="50FBBA7D" w14:textId="77777777" w:rsidR="003B3352" w:rsidRDefault="00000000">
      <w:pPr>
        <w:spacing w:after="140" w:line="276" w:lineRule="auto"/>
      </w:pPr>
      <w:r>
        <w:t>(3) The hardware-enforced environment has been verified through a remote attestation mechanism or third-party certification that meets standards established by the Commission in consultation with the National Institute of Standards and Technology; and</w:t>
      </w:r>
    </w:p>
    <w:p w14:paraId="642E3496" w14:textId="77777777" w:rsidR="003B3352" w:rsidRDefault="00000000">
      <w:pPr>
        <w:spacing w:after="140" w:line="276" w:lineRule="auto"/>
      </w:pPr>
      <w:r>
        <w:t>(4) The covered entity maintains records demonstrating compliance with paragraphs (1) through (3), available for inspection by the Commission upon request.</w:t>
      </w:r>
    </w:p>
    <w:p w14:paraId="5BA43CE7" w14:textId="77777777" w:rsidR="003B3352" w:rsidRDefault="00000000">
      <w:pPr>
        <w:spacing w:after="140" w:line="276" w:lineRule="auto"/>
      </w:pPr>
      <w:r>
        <w:t>(b) The Commission, in consultation with NIST, shall publish criteria for qualifying hardware-enforced privacy environments within 18 months of enactment. If the Commission does not publish criteria within this period, the standards set forth in NIST Internal Report 8320 and its supplements shall serve as interim qualifying criteria until the Commission publishes final criteria.</w:t>
      </w:r>
    </w:p>
    <w:p w14:paraId="46C13EA9" w14:textId="77777777" w:rsidR="003B3352" w:rsidRDefault="00000000">
      <w:pPr>
        <w:spacing w:after="140" w:line="276" w:lineRule="auto"/>
      </w:pPr>
      <w:r>
        <w:t>(c) Nothing in this section shall be construed to exempt a covered entity from obligations under this Act with respect to covered data that is transmitted, stored, or made accessible outside a qualifying hardware-enforced privacy environment.</w:t>
      </w:r>
    </w:p>
    <w:p w14:paraId="7E8DC3F0" w14:textId="77777777" w:rsidR="003B3352" w:rsidRDefault="003B3352">
      <w:pPr>
        <w:pBdr>
          <w:bottom w:val="single" w:sz="4" w:space="2" w:color="D0D0D0"/>
        </w:pBdr>
        <w:spacing w:after="100"/>
      </w:pPr>
    </w:p>
    <w:p w14:paraId="1FA2D9A2" w14:textId="77777777" w:rsidR="003B3352" w:rsidRDefault="00000000">
      <w:pPr>
        <w:pStyle w:val="Heading2"/>
      </w:pPr>
      <w:r>
        <w:t>ANNEX C: Bibliography</w:t>
      </w:r>
    </w:p>
    <w:p w14:paraId="4583D0AD" w14:textId="77777777" w:rsidR="003B3352" w:rsidRDefault="00000000">
      <w:pPr>
        <w:spacing w:before="160" w:after="80"/>
      </w:pPr>
      <w:r>
        <w:rPr>
          <w:b/>
          <w:bCs/>
          <w:color w:val="1B2B4B"/>
          <w:sz w:val="23"/>
          <w:szCs w:val="23"/>
        </w:rPr>
        <w:t>Tier 1 — Primary Legal and Official Sources</w:t>
      </w:r>
    </w:p>
    <w:p w14:paraId="6CE958DB" w14:textId="77777777" w:rsidR="003B3352" w:rsidRDefault="00000000">
      <w:pPr>
        <w:pStyle w:val="ListParagraph"/>
        <w:numPr>
          <w:ilvl w:val="0"/>
          <w:numId w:val="3"/>
        </w:numPr>
        <w:spacing w:after="100" w:line="276" w:lineRule="auto"/>
      </w:pPr>
      <w:r>
        <w:t>General Data Protection Regulation (GDPR), Regulation (EU) 2016/679, Art. 5(1)(c), Art. 25 (2018)</w:t>
      </w:r>
    </w:p>
    <w:p w14:paraId="4F02CBDC" w14:textId="77777777" w:rsidR="003B3352" w:rsidRDefault="00000000">
      <w:pPr>
        <w:pStyle w:val="ListParagraph"/>
        <w:numPr>
          <w:ilvl w:val="0"/>
          <w:numId w:val="3"/>
        </w:numPr>
        <w:spacing w:after="100" w:line="276" w:lineRule="auto"/>
      </w:pPr>
      <w:r>
        <w:t>EU Artificial Intelligence Act, Regulation (EU) 2024/1689, Recital 69 (2024)</w:t>
      </w:r>
    </w:p>
    <w:p w14:paraId="39538BF7" w14:textId="77777777" w:rsidR="003B3352" w:rsidRDefault="00000000">
      <w:pPr>
        <w:pStyle w:val="ListParagraph"/>
        <w:numPr>
          <w:ilvl w:val="0"/>
          <w:numId w:val="3"/>
        </w:numPr>
        <w:spacing w:after="100" w:line="276" w:lineRule="auto"/>
      </w:pPr>
      <w:r>
        <w:t>American Privacy Rights Act, H.R. 8818, 118th Congress (expired January 2025)</w:t>
      </w:r>
    </w:p>
    <w:p w14:paraId="552D62CA" w14:textId="77777777" w:rsidR="003B3352" w:rsidRDefault="00000000">
      <w:pPr>
        <w:pStyle w:val="ListParagraph"/>
        <w:numPr>
          <w:ilvl w:val="0"/>
          <w:numId w:val="3"/>
        </w:numPr>
        <w:spacing w:after="100" w:line="276" w:lineRule="auto"/>
      </w:pPr>
      <w:r>
        <w:t>American Data Privacy and Protection Act (ADPPA), H.R. 8152, 117th Congress</w:t>
      </w:r>
    </w:p>
    <w:p w14:paraId="4933B3FA" w14:textId="77777777" w:rsidR="003B3352" w:rsidRDefault="00000000">
      <w:pPr>
        <w:pStyle w:val="ListParagraph"/>
        <w:numPr>
          <w:ilvl w:val="0"/>
          <w:numId w:val="3"/>
        </w:numPr>
        <w:spacing w:after="100" w:line="276" w:lineRule="auto"/>
      </w:pPr>
      <w:r>
        <w:t>CHIPS and Science Act, Pub. L. 117-167 (2022)</w:t>
      </w:r>
    </w:p>
    <w:p w14:paraId="5F8C5A6E" w14:textId="77777777" w:rsidR="003B3352" w:rsidRDefault="00000000">
      <w:pPr>
        <w:pStyle w:val="ListParagraph"/>
        <w:numPr>
          <w:ilvl w:val="0"/>
          <w:numId w:val="3"/>
        </w:numPr>
        <w:spacing w:after="100" w:line="276" w:lineRule="auto"/>
      </w:pPr>
      <w:r>
        <w:t>Maryland Online Data Privacy Act (MODPA), Md. Code Ann., Com. Law § 14-4601 et seq. (2024)</w:t>
      </w:r>
    </w:p>
    <w:p w14:paraId="26761B48" w14:textId="77777777" w:rsidR="003B3352" w:rsidRDefault="00000000">
      <w:pPr>
        <w:pStyle w:val="ListParagraph"/>
        <w:numPr>
          <w:ilvl w:val="0"/>
          <w:numId w:val="3"/>
        </w:numPr>
        <w:spacing w:after="100" w:line="276" w:lineRule="auto"/>
      </w:pPr>
      <w:r>
        <w:t>Tennessee Information Protection Act (TIPA), Tenn. Code Ann. § 47-18-3301 et seq. (2024)</w:t>
      </w:r>
    </w:p>
    <w:p w14:paraId="1C017386" w14:textId="77777777" w:rsidR="003B3352" w:rsidRDefault="00000000">
      <w:pPr>
        <w:pStyle w:val="ListParagraph"/>
        <w:numPr>
          <w:ilvl w:val="0"/>
          <w:numId w:val="3"/>
        </w:numPr>
        <w:spacing w:after="100" w:line="276" w:lineRule="auto"/>
      </w:pPr>
      <w:r>
        <w:t>Japan Act on the Protection of Personal Information (APPI), Act No. 57 of 2003, as amended 2022</w:t>
      </w:r>
    </w:p>
    <w:p w14:paraId="7EB99166" w14:textId="77777777" w:rsidR="003B3352" w:rsidRDefault="00000000">
      <w:pPr>
        <w:spacing w:before="160" w:after="80"/>
      </w:pPr>
      <w:r>
        <w:rPr>
          <w:b/>
          <w:bCs/>
          <w:color w:val="1B2B4B"/>
          <w:sz w:val="23"/>
          <w:szCs w:val="23"/>
        </w:rPr>
        <w:t>Tier 2 — Official Government and Institutional Publications</w:t>
      </w:r>
    </w:p>
    <w:p w14:paraId="300BFF53" w14:textId="77777777" w:rsidR="003B3352" w:rsidRDefault="00000000">
      <w:pPr>
        <w:pStyle w:val="ListParagraph"/>
        <w:numPr>
          <w:ilvl w:val="0"/>
          <w:numId w:val="3"/>
        </w:numPr>
        <w:spacing w:after="100" w:line="276" w:lineRule="auto"/>
      </w:pPr>
      <w:r>
        <w:t xml:space="preserve">NIST IR 8320, Hardware-Enabled Security: Enabling a Layered Approach to Platform Security (2022), </w:t>
      </w:r>
      <w:hyperlink r:id="rId22" w:history="1">
        <w:r>
          <w:rPr>
            <w:color w:val="1155CC"/>
            <w:u w:val="single" w:color="1155CC"/>
          </w:rPr>
          <w:t>https://csrc.nist.gov/pubs/ir/8320/final</w:t>
        </w:r>
      </w:hyperlink>
    </w:p>
    <w:p w14:paraId="574EE400" w14:textId="77777777" w:rsidR="003B3352" w:rsidRDefault="00000000">
      <w:pPr>
        <w:pStyle w:val="ListParagraph"/>
        <w:numPr>
          <w:ilvl w:val="0"/>
          <w:numId w:val="3"/>
        </w:numPr>
        <w:spacing w:after="100" w:line="276" w:lineRule="auto"/>
      </w:pPr>
      <w:r>
        <w:t xml:space="preserve">NIST Privacy Framework 1.0 (2020), </w:t>
      </w:r>
      <w:hyperlink r:id="rId23" w:history="1">
        <w:r>
          <w:rPr>
            <w:color w:val="1155CC"/>
            <w:u w:val="single" w:color="1155CC"/>
          </w:rPr>
          <w:t>https://www.nist.gov/privacy-framework</w:t>
        </w:r>
      </w:hyperlink>
    </w:p>
    <w:p w14:paraId="088DAD78" w14:textId="77777777" w:rsidR="003B3352" w:rsidRDefault="00000000">
      <w:pPr>
        <w:pStyle w:val="ListParagraph"/>
        <w:numPr>
          <w:ilvl w:val="0"/>
          <w:numId w:val="3"/>
        </w:numPr>
        <w:spacing w:after="100" w:line="276" w:lineRule="auto"/>
      </w:pPr>
      <w:r>
        <w:lastRenderedPageBreak/>
        <w:t xml:space="preserve">UK ICO, Privacy-Enhancing Technologies Guidance (June 2023), </w:t>
      </w:r>
      <w:hyperlink r:id="rId24" w:history="1">
        <w:r>
          <w:rPr>
            <w:color w:val="1155CC"/>
            <w:u w:val="single" w:color="1155CC"/>
          </w:rPr>
          <w:t>https://ico.org.uk/for-organisations/uk-gdpr-guidance-and-resources/data-sharing/privacy-enhancing-technologies/</w:t>
        </w:r>
      </w:hyperlink>
    </w:p>
    <w:p w14:paraId="3E44836D" w14:textId="77777777" w:rsidR="003B3352" w:rsidRDefault="00000000">
      <w:pPr>
        <w:pStyle w:val="ListParagraph"/>
        <w:numPr>
          <w:ilvl w:val="0"/>
          <w:numId w:val="3"/>
        </w:numPr>
        <w:spacing w:after="100" w:line="276" w:lineRule="auto"/>
      </w:pPr>
      <w:r>
        <w:t>UK ICO, 2025 Tech Horizons Report (February 2025)</w:t>
      </w:r>
    </w:p>
    <w:p w14:paraId="6572B43A" w14:textId="77777777" w:rsidR="003B3352" w:rsidRDefault="00000000">
      <w:pPr>
        <w:pStyle w:val="ListParagraph"/>
        <w:numPr>
          <w:ilvl w:val="0"/>
          <w:numId w:val="3"/>
        </w:numPr>
        <w:spacing w:after="100" w:line="276" w:lineRule="auto"/>
      </w:pPr>
      <w:r>
        <w:t>EDPB, Guidelines 4/2019 on Article 25 Data Protection by Design and by Default, Version 2.0 (October 2020)</w:t>
      </w:r>
    </w:p>
    <w:p w14:paraId="7C7907C8" w14:textId="77777777" w:rsidR="003B3352" w:rsidRDefault="00000000">
      <w:pPr>
        <w:pStyle w:val="ListParagraph"/>
        <w:numPr>
          <w:ilvl w:val="0"/>
          <w:numId w:val="3"/>
        </w:numPr>
        <w:spacing w:after="100" w:line="276" w:lineRule="auto"/>
      </w:pPr>
      <w:r>
        <w:t>SIA, State of the U.S. Semiconductor Industry 2025</w:t>
      </w:r>
    </w:p>
    <w:p w14:paraId="4A2C8761" w14:textId="77777777" w:rsidR="003B3352" w:rsidRDefault="00000000">
      <w:pPr>
        <w:spacing w:before="160" w:after="80"/>
      </w:pPr>
      <w:r>
        <w:rPr>
          <w:b/>
          <w:bCs/>
          <w:color w:val="1B2B4B"/>
          <w:sz w:val="23"/>
          <w:szCs w:val="23"/>
        </w:rPr>
        <w:t>Tier 3 — Academic Research</w:t>
      </w:r>
    </w:p>
    <w:p w14:paraId="29527AAB" w14:textId="77777777" w:rsidR="003B3352" w:rsidRDefault="00000000">
      <w:pPr>
        <w:pStyle w:val="ListParagraph"/>
        <w:numPr>
          <w:ilvl w:val="0"/>
          <w:numId w:val="3"/>
        </w:numPr>
        <w:spacing w:after="100" w:line="276" w:lineRule="auto"/>
      </w:pPr>
      <w:r>
        <w:t>ENISA, PETs Maturity Assessment Framework</w:t>
      </w:r>
    </w:p>
    <w:p w14:paraId="5C38B136" w14:textId="77777777" w:rsidR="003B3352" w:rsidRDefault="00000000">
      <w:pPr>
        <w:pStyle w:val="ListParagraph"/>
        <w:numPr>
          <w:ilvl w:val="0"/>
          <w:numId w:val="3"/>
        </w:numPr>
        <w:spacing w:after="100" w:line="276" w:lineRule="auto"/>
      </w:pPr>
      <w:r>
        <w:t>Future of Privacy Forum, "Unlocking Data Protection by Design and by Default" (May 2023)</w:t>
      </w:r>
    </w:p>
    <w:p w14:paraId="05F33C36" w14:textId="77777777" w:rsidR="003B3352" w:rsidRDefault="00000000">
      <w:pPr>
        <w:spacing w:before="160" w:after="80"/>
      </w:pPr>
      <w:r>
        <w:rPr>
          <w:b/>
          <w:bCs/>
          <w:color w:val="1B2B4B"/>
          <w:sz w:val="23"/>
          <w:szCs w:val="23"/>
        </w:rPr>
        <w:t>Tier 4 — Policy Research Institutions</w:t>
      </w:r>
    </w:p>
    <w:p w14:paraId="5F59A40E" w14:textId="77777777" w:rsidR="003B3352" w:rsidRDefault="00000000">
      <w:pPr>
        <w:pStyle w:val="ListParagraph"/>
        <w:numPr>
          <w:ilvl w:val="0"/>
          <w:numId w:val="3"/>
        </w:numPr>
        <w:spacing w:after="100" w:line="276" w:lineRule="auto"/>
      </w:pPr>
      <w:r>
        <w:t>ITIF, "The Cost of State Privacy Patchwork" (compliance cost analysis)</w:t>
      </w:r>
    </w:p>
    <w:p w14:paraId="0CF78F05" w14:textId="77777777" w:rsidR="003B3352" w:rsidRDefault="00000000">
      <w:pPr>
        <w:pStyle w:val="ListParagraph"/>
        <w:numPr>
          <w:ilvl w:val="0"/>
          <w:numId w:val="3"/>
        </w:numPr>
        <w:spacing w:after="100" w:line="276" w:lineRule="auto"/>
      </w:pPr>
      <w:r>
        <w:t>Future of Privacy Forum, "Five Big Questions for the U.S. State Privacy Landscape in 2025"</w:t>
      </w:r>
    </w:p>
    <w:p w14:paraId="103675CE" w14:textId="77777777" w:rsidR="003B3352" w:rsidRDefault="00000000">
      <w:pPr>
        <w:spacing w:before="160" w:after="80"/>
      </w:pPr>
      <w:r>
        <w:rPr>
          <w:b/>
          <w:bCs/>
          <w:color w:val="1B2B4B"/>
          <w:sz w:val="23"/>
          <w:szCs w:val="23"/>
        </w:rPr>
        <w:t>Tier 5 — Authoritative Media</w:t>
      </w:r>
    </w:p>
    <w:p w14:paraId="14522227" w14:textId="77777777" w:rsidR="003B3352" w:rsidRDefault="00000000">
      <w:pPr>
        <w:pStyle w:val="ListParagraph"/>
        <w:numPr>
          <w:ilvl w:val="0"/>
          <w:numId w:val="3"/>
        </w:numPr>
        <w:spacing w:after="100" w:line="276" w:lineRule="auto"/>
      </w:pPr>
      <w:r>
        <w:t>IAPP, "Data Minimization: An Increasingly Global Concept" (2025)</w:t>
      </w:r>
    </w:p>
    <w:p w14:paraId="2DF4DC21" w14:textId="77777777" w:rsidR="003B3352" w:rsidRDefault="00000000">
      <w:pPr>
        <w:pStyle w:val="ListParagraph"/>
        <w:numPr>
          <w:ilvl w:val="0"/>
          <w:numId w:val="3"/>
        </w:numPr>
        <w:spacing w:after="100" w:line="276" w:lineRule="auto"/>
      </w:pPr>
      <w:r>
        <w:t>IAPP, "Retrospective: 2025 in State Data Privacy Law" (2025)</w:t>
      </w:r>
    </w:p>
    <w:p w14:paraId="25ADAD0A" w14:textId="77777777" w:rsidR="003B3352" w:rsidRDefault="00000000">
      <w:pPr>
        <w:pStyle w:val="ListParagraph"/>
        <w:numPr>
          <w:ilvl w:val="0"/>
          <w:numId w:val="3"/>
        </w:numPr>
        <w:spacing w:after="100" w:line="276" w:lineRule="auto"/>
      </w:pPr>
      <w:r>
        <w:t>White &amp; Case, "2025 State Privacy Laws: What Businesses Need to Know" (2025)</w:t>
      </w:r>
    </w:p>
    <w:p w14:paraId="12D42450" w14:textId="77777777" w:rsidR="003B3352" w:rsidRDefault="003B3352">
      <w:pPr>
        <w:pBdr>
          <w:bottom w:val="single" w:sz="4" w:space="2" w:color="D0D0D0"/>
        </w:pBdr>
        <w:spacing w:after="100"/>
      </w:pPr>
    </w:p>
    <w:p w14:paraId="6F81D612" w14:textId="77777777" w:rsidR="003B3352" w:rsidRDefault="00000000">
      <w:pPr>
        <w:pStyle w:val="Heading2"/>
      </w:pPr>
      <w:r>
        <w:t>ANNEX D: Research Agenda — Verification Required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9"/>
        <w:gridCol w:w="2409"/>
        <w:gridCol w:w="2409"/>
        <w:gridCol w:w="2411"/>
      </w:tblGrid>
      <w:tr w:rsidR="003B3352" w14:paraId="321968DF" w14:textId="77777777">
        <w:tblPrEx>
          <w:tblCellMar>
            <w:top w:w="0" w:type="dxa"/>
            <w:bottom w:w="0" w:type="dxa"/>
          </w:tblCellMar>
        </w:tblPrEx>
        <w:trPr>
          <w:tblHeader/>
        </w:trPr>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62FE558A" w14:textId="77777777" w:rsidR="003B3352" w:rsidRDefault="00000000">
            <w:pPr>
              <w:spacing w:line="264" w:lineRule="auto"/>
            </w:pPr>
            <w:r>
              <w:rPr>
                <w:b/>
                <w:bCs/>
                <w:color w:val="FFFFFF"/>
                <w:sz w:val="19"/>
                <w:szCs w:val="19"/>
              </w:rPr>
              <w:t>#</w:t>
            </w:r>
          </w:p>
        </w:tc>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522489A4" w14:textId="77777777" w:rsidR="003B3352" w:rsidRDefault="00000000">
            <w:pPr>
              <w:spacing w:line="264" w:lineRule="auto"/>
            </w:pPr>
            <w:r>
              <w:rPr>
                <w:b/>
                <w:bCs/>
                <w:color w:val="FFFFFF"/>
                <w:sz w:val="19"/>
                <w:szCs w:val="19"/>
              </w:rPr>
              <w:t>Claim in Paper</w:t>
            </w:r>
          </w:p>
        </w:tc>
        <w:tc>
          <w:tcPr>
            <w:tcW w:w="2409"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5EC131BE" w14:textId="77777777" w:rsidR="003B3352" w:rsidRDefault="00000000">
            <w:pPr>
              <w:spacing w:line="264" w:lineRule="auto"/>
            </w:pPr>
            <w:r>
              <w:rPr>
                <w:b/>
                <w:bCs/>
                <w:color w:val="FFFFFF"/>
                <w:sz w:val="19"/>
                <w:szCs w:val="19"/>
              </w:rPr>
              <w:t>Source to Consult</w:t>
            </w:r>
          </w:p>
        </w:tc>
        <w:tc>
          <w:tcPr>
            <w:tcW w:w="2411" w:type="dxa"/>
            <w:tcBorders>
              <w:top w:val="single" w:sz="4" w:space="0" w:color="D0D0D0"/>
              <w:left w:val="single" w:sz="4" w:space="0" w:color="D0D0D0"/>
              <w:bottom w:val="single" w:sz="4" w:space="0" w:color="D0D0D0"/>
              <w:right w:val="single" w:sz="4" w:space="0" w:color="D0D0D0"/>
            </w:tcBorders>
            <w:shd w:val="clear" w:color="auto" w:fill="1B2B4B"/>
            <w:tcMar>
              <w:top w:w="80" w:type="dxa"/>
              <w:left w:w="100" w:type="dxa"/>
              <w:bottom w:w="80" w:type="dxa"/>
              <w:right w:w="100" w:type="dxa"/>
            </w:tcMar>
          </w:tcPr>
          <w:p w14:paraId="349E25B5" w14:textId="77777777" w:rsidR="003B3352" w:rsidRDefault="00000000">
            <w:pPr>
              <w:spacing w:line="264" w:lineRule="auto"/>
            </w:pPr>
            <w:r>
              <w:rPr>
                <w:b/>
                <w:bCs/>
                <w:color w:val="FFFFFF"/>
                <w:sz w:val="19"/>
                <w:szCs w:val="19"/>
              </w:rPr>
              <w:t>Priority</w:t>
            </w:r>
          </w:p>
        </w:tc>
      </w:tr>
      <w:tr w:rsidR="003B3352" w14:paraId="734B40DF"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3D8FDDE" w14:textId="77777777" w:rsidR="003B3352" w:rsidRDefault="00000000">
            <w:pPr>
              <w:spacing w:line="264" w:lineRule="auto"/>
            </w:pPr>
            <w:r>
              <w:rPr>
                <w:sz w:val="19"/>
                <w:szCs w:val="19"/>
              </w:rPr>
              <w:t>1</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68FF2BC" w14:textId="77777777" w:rsidR="003B3352" w:rsidRDefault="00000000">
            <w:pPr>
              <w:spacing w:line="264" w:lineRule="auto"/>
            </w:pPr>
            <w:r>
              <w:rPr>
                <w:sz w:val="19"/>
                <w:szCs w:val="19"/>
              </w:rPr>
              <w:t>ITIF estimate of "$1 trillion over 10 years" for 50-state privacy patchwork compliance costs</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B5FDBE7" w14:textId="77777777" w:rsidR="003B3352" w:rsidRDefault="00000000">
            <w:pPr>
              <w:spacing w:line="264" w:lineRule="auto"/>
            </w:pPr>
            <w:r>
              <w:rPr>
                <w:sz w:val="19"/>
                <w:szCs w:val="19"/>
              </w:rPr>
              <w:t>ITIF original publication; searched for but original report not located in full text</w:t>
            </w:r>
          </w:p>
        </w:tc>
        <w:tc>
          <w:tcPr>
            <w:tcW w:w="2411"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0784234F" w14:textId="77777777" w:rsidR="003B3352" w:rsidRDefault="00000000">
            <w:pPr>
              <w:spacing w:line="264" w:lineRule="auto"/>
            </w:pPr>
            <w:r>
              <w:rPr>
                <w:sz w:val="19"/>
                <w:szCs w:val="19"/>
              </w:rPr>
              <w:t>High</w:t>
            </w:r>
          </w:p>
        </w:tc>
      </w:tr>
      <w:tr w:rsidR="003B3352" w14:paraId="7C79EC71"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904AD8A" w14:textId="77777777" w:rsidR="003B3352" w:rsidRDefault="00000000">
            <w:pPr>
              <w:spacing w:line="264" w:lineRule="auto"/>
            </w:pPr>
            <w:r>
              <w:rPr>
                <w:sz w:val="19"/>
                <w:szCs w:val="19"/>
              </w:rPr>
              <w:t>2</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3824ACB" w14:textId="77777777" w:rsidR="003B3352" w:rsidRDefault="00000000">
            <w:pPr>
              <w:spacing w:line="264" w:lineRule="auto"/>
            </w:pPr>
            <w:r>
              <w:rPr>
                <w:sz w:val="19"/>
                <w:szCs w:val="19"/>
              </w:rPr>
              <w:t>Current APRA "on-device data exemption" language from June 2024 draft — precise statutory text</w:t>
            </w:r>
          </w:p>
        </w:tc>
        <w:tc>
          <w:tcPr>
            <w:tcW w:w="2409"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287C2869" w14:textId="77777777" w:rsidR="003B3352" w:rsidRDefault="00000000">
            <w:pPr>
              <w:spacing w:line="264" w:lineRule="auto"/>
            </w:pPr>
            <w:r>
              <w:rPr>
                <w:sz w:val="19"/>
                <w:szCs w:val="19"/>
              </w:rPr>
              <w:t>Congress.gov archived bill text H.R. 8818; searched but full section text not retrievable from web results</w:t>
            </w:r>
          </w:p>
        </w:tc>
        <w:tc>
          <w:tcPr>
            <w:tcW w:w="2411" w:type="dxa"/>
            <w:tcBorders>
              <w:top w:val="single" w:sz="4" w:space="0" w:color="D0D0D0"/>
              <w:left w:val="single" w:sz="4" w:space="0" w:color="D0D0D0"/>
              <w:bottom w:val="single" w:sz="4" w:space="0" w:color="D0D0D0"/>
              <w:right w:val="single" w:sz="4" w:space="0" w:color="D0D0D0"/>
            </w:tcBorders>
            <w:shd w:val="clear" w:color="auto" w:fill="F5F5F5"/>
            <w:tcMar>
              <w:top w:w="80" w:type="dxa"/>
              <w:left w:w="100" w:type="dxa"/>
              <w:bottom w:w="80" w:type="dxa"/>
              <w:right w:w="100" w:type="dxa"/>
            </w:tcMar>
          </w:tcPr>
          <w:p w14:paraId="3E2715BE" w14:textId="77777777" w:rsidR="003B3352" w:rsidRDefault="00000000">
            <w:pPr>
              <w:spacing w:line="264" w:lineRule="auto"/>
            </w:pPr>
            <w:r>
              <w:rPr>
                <w:sz w:val="19"/>
                <w:szCs w:val="19"/>
              </w:rPr>
              <w:t>Medium</w:t>
            </w:r>
          </w:p>
        </w:tc>
      </w:tr>
      <w:tr w:rsidR="003B3352" w14:paraId="7895DEF4" w14:textId="77777777">
        <w:tblPrEx>
          <w:tblCellMar>
            <w:top w:w="0" w:type="dxa"/>
            <w:bottom w:w="0" w:type="dxa"/>
          </w:tblCellMar>
        </w:tblPrEx>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6C70A3C2" w14:textId="77777777" w:rsidR="003B3352" w:rsidRDefault="00000000">
            <w:pPr>
              <w:spacing w:line="264" w:lineRule="auto"/>
            </w:pPr>
            <w:r>
              <w:rPr>
                <w:sz w:val="19"/>
                <w:szCs w:val="19"/>
              </w:rPr>
              <w:t>3</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38473B4B" w14:textId="77777777" w:rsidR="003B3352" w:rsidRDefault="00000000">
            <w:pPr>
              <w:spacing w:line="264" w:lineRule="auto"/>
            </w:pPr>
            <w:r>
              <w:rPr>
                <w:sz w:val="19"/>
                <w:szCs w:val="19"/>
              </w:rPr>
              <w:t>NIST Privacy Framework 1.1 Initial Public Draft (referenced at nist.gov) — whether hardware controls are more explicitly addressed than in PF 1.0</w:t>
            </w:r>
          </w:p>
        </w:tc>
        <w:tc>
          <w:tcPr>
            <w:tcW w:w="2409"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1FBA82CA" w14:textId="77777777" w:rsidR="003B3352" w:rsidRDefault="00000000">
            <w:pPr>
              <w:spacing w:line="264" w:lineRule="auto"/>
            </w:pPr>
            <w:r>
              <w:rPr>
                <w:sz w:val="19"/>
                <w:szCs w:val="19"/>
              </w:rPr>
              <w:t>NIST PF 1.1 IPD document, available at nist.gov/privacy-framework</w:t>
            </w:r>
          </w:p>
        </w:tc>
        <w:tc>
          <w:tcPr>
            <w:tcW w:w="2411" w:type="dxa"/>
            <w:tcBorders>
              <w:top w:val="single" w:sz="4" w:space="0" w:color="D0D0D0"/>
              <w:left w:val="single" w:sz="4" w:space="0" w:color="D0D0D0"/>
              <w:bottom w:val="single" w:sz="4" w:space="0" w:color="D0D0D0"/>
              <w:right w:val="single" w:sz="4" w:space="0" w:color="D0D0D0"/>
            </w:tcBorders>
            <w:shd w:val="clear" w:color="auto" w:fill="FFFFFF"/>
            <w:tcMar>
              <w:top w:w="80" w:type="dxa"/>
              <w:left w:w="100" w:type="dxa"/>
              <w:bottom w:w="80" w:type="dxa"/>
              <w:right w:w="100" w:type="dxa"/>
            </w:tcMar>
          </w:tcPr>
          <w:p w14:paraId="5138515B" w14:textId="77777777" w:rsidR="003B3352" w:rsidRDefault="00000000">
            <w:pPr>
              <w:spacing w:line="264" w:lineRule="auto"/>
            </w:pPr>
            <w:r>
              <w:rPr>
                <w:sz w:val="19"/>
                <w:szCs w:val="19"/>
              </w:rPr>
              <w:t>High</w:t>
            </w:r>
          </w:p>
        </w:tc>
      </w:tr>
    </w:tbl>
    <w:p w14:paraId="2897411C" w14:textId="77777777" w:rsidR="003B3352" w:rsidRDefault="003B3352">
      <w:pPr>
        <w:spacing w:after="80"/>
      </w:pPr>
    </w:p>
    <w:p w14:paraId="4DA99C6C" w14:textId="77777777" w:rsidR="003B3352" w:rsidRDefault="003B3352">
      <w:pPr>
        <w:pBdr>
          <w:bottom w:val="single" w:sz="4" w:space="2" w:color="D0D0D0"/>
        </w:pBdr>
        <w:spacing w:after="100"/>
      </w:pPr>
    </w:p>
    <w:p w14:paraId="7EE2BF7C" w14:textId="77777777" w:rsidR="003B3352" w:rsidRDefault="00000000">
      <w:pPr>
        <w:spacing w:after="140" w:line="276" w:lineRule="auto"/>
      </w:pPr>
      <w:r>
        <w:t xml:space="preserve">⚠️ </w:t>
      </w:r>
      <w:r>
        <w:rPr>
          <w:b/>
          <w:bCs/>
        </w:rPr>
        <w:t>AI-GENERATED DOCUMENT — DISCLAIMER</w:t>
      </w:r>
    </w:p>
    <w:p w14:paraId="5BD8F999" w14:textId="77777777" w:rsidR="003B3352" w:rsidRDefault="00000000">
      <w:pPr>
        <w:spacing w:after="140" w:line="276" w:lineRule="auto"/>
      </w:pPr>
      <w:r>
        <w:t>This document has been produced with the assistance of artificial intelligence. It is intended as a strategic and analytical aid only. All factual claims, legislative references, and policy analysis should be independently reviewed and verified by a qualified professional before submission, publication, or use in an official context.</w:t>
      </w:r>
    </w:p>
    <w:sectPr w:rsidR="003B3352">
      <w:headerReference w:type="default" r:id="rId25"/>
      <w:footerReference w:type="default" r:id="rId26"/>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3D73" w14:textId="77777777" w:rsidR="00280729" w:rsidRDefault="00280729">
      <w:r>
        <w:separator/>
      </w:r>
    </w:p>
  </w:endnote>
  <w:endnote w:type="continuationSeparator" w:id="0">
    <w:p w14:paraId="6EB34B97" w14:textId="77777777" w:rsidR="00280729" w:rsidRDefault="0028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7AE2" w14:textId="77777777" w:rsidR="003B3352" w:rsidRDefault="00000000">
    <w:pPr>
      <w:pBdr>
        <w:top w:val="single" w:sz="6" w:space="4" w:color="D0D0D0"/>
      </w:pBdr>
      <w:jc w:val="right"/>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7F30BB">
      <w:rPr>
        <w:noProof/>
        <w:color w:val="888888"/>
        <w:sz w:val="18"/>
        <w:szCs w:val="18"/>
      </w:rPr>
      <w:t>2</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7F30BB">
      <w:rPr>
        <w:noProof/>
        <w:color w:val="888888"/>
        <w:sz w:val="18"/>
        <w:szCs w:val="18"/>
      </w:rPr>
      <w:t>3</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EC53" w14:textId="77777777" w:rsidR="00280729" w:rsidRDefault="00280729">
      <w:r>
        <w:separator/>
      </w:r>
    </w:p>
  </w:footnote>
  <w:footnote w:type="continuationSeparator" w:id="0">
    <w:p w14:paraId="1A127C0F" w14:textId="77777777" w:rsidR="00280729" w:rsidRDefault="0028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AB6B" w14:textId="77777777" w:rsidR="003B3352" w:rsidRDefault="00000000">
    <w:pPr>
      <w:pBdr>
        <w:bottom w:val="single" w:sz="6" w:space="4" w:color="D0D0D0"/>
      </w:pBdr>
    </w:pPr>
    <w:r>
      <w:rPr>
        <w:color w:val="888888"/>
        <w:sz w:val="18"/>
        <w:szCs w:val="18"/>
      </w:rPr>
      <w:t>POSITION PAPER</w:t>
    </w:r>
    <w:r>
      <w:rPr>
        <w:color w:val="BBBBBB"/>
        <w:sz w:val="18"/>
        <w:szCs w:val="18"/>
      </w:rPr>
      <w:t xml:space="preserve">  |  </w:t>
    </w:r>
    <w:r>
      <w:rPr>
        <w:color w:val="888888"/>
        <w:sz w:val="18"/>
        <w:szCs w:val="18"/>
      </w:rPr>
      <w:t>United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1D15"/>
    <w:multiLevelType w:val="hybridMultilevel"/>
    <w:tmpl w:val="E7C06F04"/>
    <w:lvl w:ilvl="0" w:tplc="76D076E6">
      <w:start w:val="1"/>
      <w:numFmt w:val="bullet"/>
      <w:lvlText w:val="•"/>
      <w:lvlJc w:val="left"/>
      <w:pPr>
        <w:ind w:left="720" w:hanging="360"/>
      </w:pPr>
    </w:lvl>
    <w:lvl w:ilvl="1" w:tplc="D932E5D4">
      <w:numFmt w:val="decimal"/>
      <w:lvlText w:val=""/>
      <w:lvlJc w:val="left"/>
    </w:lvl>
    <w:lvl w:ilvl="2" w:tplc="8E164D24">
      <w:numFmt w:val="decimal"/>
      <w:lvlText w:val=""/>
      <w:lvlJc w:val="left"/>
    </w:lvl>
    <w:lvl w:ilvl="3" w:tplc="B5D2B06E">
      <w:numFmt w:val="decimal"/>
      <w:lvlText w:val=""/>
      <w:lvlJc w:val="left"/>
    </w:lvl>
    <w:lvl w:ilvl="4" w:tplc="F96E72BC">
      <w:numFmt w:val="decimal"/>
      <w:lvlText w:val=""/>
      <w:lvlJc w:val="left"/>
    </w:lvl>
    <w:lvl w:ilvl="5" w:tplc="1792B998">
      <w:numFmt w:val="decimal"/>
      <w:lvlText w:val=""/>
      <w:lvlJc w:val="left"/>
    </w:lvl>
    <w:lvl w:ilvl="6" w:tplc="7D62A2C8">
      <w:numFmt w:val="decimal"/>
      <w:lvlText w:val=""/>
      <w:lvlJc w:val="left"/>
    </w:lvl>
    <w:lvl w:ilvl="7" w:tplc="84260624">
      <w:numFmt w:val="decimal"/>
      <w:lvlText w:val=""/>
      <w:lvlJc w:val="left"/>
    </w:lvl>
    <w:lvl w:ilvl="8" w:tplc="DFA2CCD2">
      <w:numFmt w:val="decimal"/>
      <w:lvlText w:val=""/>
      <w:lvlJc w:val="left"/>
    </w:lvl>
  </w:abstractNum>
  <w:abstractNum w:abstractNumId="1" w15:restartNumberingAfterBreak="0">
    <w:nsid w:val="328A0AAB"/>
    <w:multiLevelType w:val="hybridMultilevel"/>
    <w:tmpl w:val="D54A1D0E"/>
    <w:lvl w:ilvl="0" w:tplc="F75C1F1C">
      <w:start w:val="1"/>
      <w:numFmt w:val="bullet"/>
      <w:lvlText w:val="●"/>
      <w:lvlJc w:val="left"/>
      <w:pPr>
        <w:ind w:left="720" w:hanging="360"/>
      </w:pPr>
    </w:lvl>
    <w:lvl w:ilvl="1" w:tplc="DB828A40">
      <w:start w:val="1"/>
      <w:numFmt w:val="bullet"/>
      <w:lvlText w:val="○"/>
      <w:lvlJc w:val="left"/>
      <w:pPr>
        <w:ind w:left="1440" w:hanging="360"/>
      </w:pPr>
    </w:lvl>
    <w:lvl w:ilvl="2" w:tplc="47F261FE">
      <w:start w:val="1"/>
      <w:numFmt w:val="bullet"/>
      <w:lvlText w:val="■"/>
      <w:lvlJc w:val="left"/>
      <w:pPr>
        <w:ind w:left="2160" w:hanging="360"/>
      </w:pPr>
    </w:lvl>
    <w:lvl w:ilvl="3" w:tplc="DD70BA7C">
      <w:start w:val="1"/>
      <w:numFmt w:val="bullet"/>
      <w:lvlText w:val="●"/>
      <w:lvlJc w:val="left"/>
      <w:pPr>
        <w:ind w:left="2880" w:hanging="360"/>
      </w:pPr>
    </w:lvl>
    <w:lvl w:ilvl="4" w:tplc="D0E2F486">
      <w:start w:val="1"/>
      <w:numFmt w:val="bullet"/>
      <w:lvlText w:val="○"/>
      <w:lvlJc w:val="left"/>
      <w:pPr>
        <w:ind w:left="3600" w:hanging="360"/>
      </w:pPr>
    </w:lvl>
    <w:lvl w:ilvl="5" w:tplc="5B0C789A">
      <w:start w:val="1"/>
      <w:numFmt w:val="bullet"/>
      <w:lvlText w:val="■"/>
      <w:lvlJc w:val="left"/>
      <w:pPr>
        <w:ind w:left="4320" w:hanging="360"/>
      </w:pPr>
    </w:lvl>
    <w:lvl w:ilvl="6" w:tplc="17BCE8BC">
      <w:start w:val="1"/>
      <w:numFmt w:val="bullet"/>
      <w:lvlText w:val="●"/>
      <w:lvlJc w:val="left"/>
      <w:pPr>
        <w:ind w:left="5040" w:hanging="360"/>
      </w:pPr>
    </w:lvl>
    <w:lvl w:ilvl="7" w:tplc="F50C6A12">
      <w:start w:val="1"/>
      <w:numFmt w:val="bullet"/>
      <w:lvlText w:val="●"/>
      <w:lvlJc w:val="left"/>
      <w:pPr>
        <w:ind w:left="5760" w:hanging="360"/>
      </w:pPr>
    </w:lvl>
    <w:lvl w:ilvl="8" w:tplc="9470320E">
      <w:start w:val="1"/>
      <w:numFmt w:val="bullet"/>
      <w:lvlText w:val="●"/>
      <w:lvlJc w:val="left"/>
      <w:pPr>
        <w:ind w:left="6480" w:hanging="360"/>
      </w:pPr>
    </w:lvl>
  </w:abstractNum>
  <w:abstractNum w:abstractNumId="2" w15:restartNumberingAfterBreak="0">
    <w:nsid w:val="484C3C94"/>
    <w:multiLevelType w:val="hybridMultilevel"/>
    <w:tmpl w:val="55724E76"/>
    <w:lvl w:ilvl="0" w:tplc="8530E7FC">
      <w:start w:val="1"/>
      <w:numFmt w:val="decimal"/>
      <w:lvlText w:val="%1."/>
      <w:lvlJc w:val="left"/>
      <w:pPr>
        <w:ind w:left="720" w:hanging="360"/>
      </w:pPr>
    </w:lvl>
    <w:lvl w:ilvl="1" w:tplc="71CC3C3E">
      <w:numFmt w:val="decimal"/>
      <w:lvlText w:val=""/>
      <w:lvlJc w:val="left"/>
    </w:lvl>
    <w:lvl w:ilvl="2" w:tplc="853CF14C">
      <w:numFmt w:val="decimal"/>
      <w:lvlText w:val=""/>
      <w:lvlJc w:val="left"/>
    </w:lvl>
    <w:lvl w:ilvl="3" w:tplc="ABFC4CCC">
      <w:numFmt w:val="decimal"/>
      <w:lvlText w:val=""/>
      <w:lvlJc w:val="left"/>
    </w:lvl>
    <w:lvl w:ilvl="4" w:tplc="8F38BD82">
      <w:numFmt w:val="decimal"/>
      <w:lvlText w:val=""/>
      <w:lvlJc w:val="left"/>
    </w:lvl>
    <w:lvl w:ilvl="5" w:tplc="D16A6DFE">
      <w:numFmt w:val="decimal"/>
      <w:lvlText w:val=""/>
      <w:lvlJc w:val="left"/>
    </w:lvl>
    <w:lvl w:ilvl="6" w:tplc="429252F4">
      <w:numFmt w:val="decimal"/>
      <w:lvlText w:val=""/>
      <w:lvlJc w:val="left"/>
    </w:lvl>
    <w:lvl w:ilvl="7" w:tplc="F410CD5E">
      <w:numFmt w:val="decimal"/>
      <w:lvlText w:val=""/>
      <w:lvlJc w:val="left"/>
    </w:lvl>
    <w:lvl w:ilvl="8" w:tplc="49C207F8">
      <w:numFmt w:val="decimal"/>
      <w:lvlText w:val=""/>
      <w:lvlJc w:val="left"/>
    </w:lvl>
  </w:abstractNum>
  <w:num w:numId="1" w16cid:durableId="1417631607">
    <w:abstractNumId w:val="1"/>
    <w:lvlOverride w:ilvl="0">
      <w:startOverride w:val="1"/>
    </w:lvlOverride>
  </w:num>
  <w:num w:numId="2" w16cid:durableId="1523477594">
    <w:abstractNumId w:val="2"/>
    <w:lvlOverride w:ilvl="0">
      <w:startOverride w:val="1"/>
    </w:lvlOverride>
  </w:num>
  <w:num w:numId="3" w16cid:durableId="813832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52"/>
    <w:rsid w:val="00280729"/>
    <w:rsid w:val="003B3352"/>
    <w:rsid w:val="007F30BB"/>
    <w:rsid w:val="00C44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B35"/>
  <w15:docId w15:val="{D5C42195-3714-422A-B41D-DF1F5129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300" w:after="160"/>
      <w:outlineLvl w:val="0"/>
    </w:pPr>
    <w:rPr>
      <w:b/>
      <w:bCs/>
      <w:color w:val="1B2B4B"/>
      <w:sz w:val="36"/>
      <w:szCs w:val="36"/>
    </w:rPr>
  </w:style>
  <w:style w:type="paragraph" w:styleId="Heading2">
    <w:name w:val="heading 2"/>
    <w:basedOn w:val="Normal"/>
    <w:next w:val="Normal"/>
    <w:link w:val="Heading2Char"/>
    <w:uiPriority w:val="9"/>
    <w:unhideWhenUsed/>
    <w:qFormat/>
    <w:pPr>
      <w:spacing w:before="200" w:after="100"/>
      <w:outlineLvl w:val="1"/>
    </w:pPr>
    <w:rPr>
      <w:b/>
      <w:bCs/>
      <w:color w:val="1B2B4B"/>
      <w:sz w:val="26"/>
      <w:szCs w:val="26"/>
    </w:rPr>
  </w:style>
  <w:style w:type="paragraph" w:styleId="Heading3">
    <w:name w:val="heading 3"/>
    <w:basedOn w:val="Normal"/>
    <w:next w:val="Normal"/>
    <w:uiPriority w:val="9"/>
    <w:unhideWhenUsed/>
    <w:qFormat/>
    <w:pPr>
      <w:spacing w:before="160" w:after="80"/>
      <w:outlineLvl w:val="2"/>
    </w:pPr>
    <w:rPr>
      <w:b/>
      <w:bCs/>
      <w:color w:val="1B2B4B"/>
      <w:sz w:val="23"/>
      <w:szCs w:val="23"/>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next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2Char">
    <w:name w:val="Heading 2 Char"/>
    <w:basedOn w:val="DefaultParagraphFont"/>
    <w:link w:val="Heading2"/>
    <w:uiPriority w:val="9"/>
    <w:rsid w:val="007F30BB"/>
    <w:rPr>
      <w:b/>
      <w:bCs/>
      <w:color w:val="1B2B4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tificialintelligenceact.eu/recital/69/" TargetMode="External"/><Relationship Id="rId13" Type="http://schemas.openxmlformats.org/officeDocument/2006/relationships/hyperlink" Target="https://www.semiconductors.org/global-annual-semiconductor-sales-increase-25-6-to-791-7-billion-in-2025/" TargetMode="External"/><Relationship Id="rId18" Type="http://schemas.openxmlformats.org/officeDocument/2006/relationships/hyperlink" Target="https://www.kiteworks.com/cybersecurity-risk-management/navigating-us-state-privacy-laws-202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emiconductors.org/" TargetMode="External"/><Relationship Id="rId7" Type="http://schemas.openxmlformats.org/officeDocument/2006/relationships/hyperlink" Target="https://gdpr-info.eu/art-25-gdpr/" TargetMode="External"/><Relationship Id="rId12" Type="http://schemas.openxmlformats.org/officeDocument/2006/relationships/hyperlink" Target="https://www.tn.gov/" TargetMode="External"/><Relationship Id="rId17" Type="http://schemas.openxmlformats.org/officeDocument/2006/relationships/hyperlink" Target="https://www.semiconductors.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emiconductors.org/" TargetMode="External"/><Relationship Id="rId20" Type="http://schemas.openxmlformats.org/officeDocument/2006/relationships/hyperlink" Target="https://www.semiconducto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galeg.maryland.gov/" TargetMode="External"/><Relationship Id="rId24" Type="http://schemas.openxmlformats.org/officeDocument/2006/relationships/hyperlink" Target="https://ico.org.uk/for-organisations/uk-gdpr-guidance-and-resources/data-sharing/privacy-enhancing-technologies/" TargetMode="External"/><Relationship Id="rId5" Type="http://schemas.openxmlformats.org/officeDocument/2006/relationships/footnotes" Target="footnotes.xml"/><Relationship Id="rId15" Type="http://schemas.openxmlformats.org/officeDocument/2006/relationships/hyperlink" Target="https://www.semiconductors.org/" TargetMode="External"/><Relationship Id="rId23" Type="http://schemas.openxmlformats.org/officeDocument/2006/relationships/hyperlink" Target="https://www.nist.gov/privacy-framework" TargetMode="External"/><Relationship Id="rId28" Type="http://schemas.openxmlformats.org/officeDocument/2006/relationships/theme" Target="theme/theme1.xml"/><Relationship Id="rId10" Type="http://schemas.openxmlformats.org/officeDocument/2006/relationships/hyperlink" Target="https://www.japaneselawtranslation.go.jp/" TargetMode="External"/><Relationship Id="rId19" Type="http://schemas.openxmlformats.org/officeDocument/2006/relationships/hyperlink" Target="https://www.kiteworks.com/cybersecurity-risk-management/navigating-us-state-privacy-laws-2025/" TargetMode="External"/><Relationship Id="rId4" Type="http://schemas.openxmlformats.org/officeDocument/2006/relationships/webSettings" Target="webSettings.xml"/><Relationship Id="rId9" Type="http://schemas.openxmlformats.org/officeDocument/2006/relationships/hyperlink" Target="https://ico.org.uk/for-organisations/uk-gdpr-guidance-and-resources/data-sharing/privacy-enhancing-technologies/" TargetMode="External"/><Relationship Id="rId14" Type="http://schemas.openxmlformats.org/officeDocument/2006/relationships/hyperlink" Target="https://www.semiconductors.org/global-annual-semiconductor-sales-increase-25-6-to-791-7-billion-in-2025/" TargetMode="External"/><Relationship Id="rId22" Type="http://schemas.openxmlformats.org/officeDocument/2006/relationships/hyperlink" Target="https://csrc.nist.gov/pubs/ir/8320/fin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5427</Words>
  <Characters>27139</Characters>
  <Application>Microsoft Office Word</Application>
  <DocSecurity>0</DocSecurity>
  <Lines>226</Lines>
  <Paragraphs>65</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Yoav Shechter</cp:lastModifiedBy>
  <cp:revision>2</cp:revision>
  <dcterms:created xsi:type="dcterms:W3CDTF">2026-04-19T15:18:00Z</dcterms:created>
  <dcterms:modified xsi:type="dcterms:W3CDTF">2026-04-19T15:26:00Z</dcterms:modified>
</cp:coreProperties>
</file>