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line="240"/>
        <w:jc w:val="left"/>
      </w:pPr>
      <w:r>
        <w:rPr>
          <w:sz w:val="22"/>
          <w:szCs w:val="22"/>
          <w:rFonts w:ascii="Arial" w:cs="Arial" w:eastAsia="Arial" w:hAnsi="Arial"/>
        </w:rPr>
      </w:r>
    </w:p>
    <w:p>
      <w:pPr>
        <w:pBdr>
          <w:top w:val="none" w:color="1B2B4B" w:sz="0"/>
          <w:bottom w:val="none" w:color="1B2B4B" w:sz="0"/>
          <w:left w:val="none" w:color="1B2B4B" w:sz="0"/>
          <w:right w:val="none" w:color="1B2B4B" w:sz="0"/>
        </w:pBdr>
        <w:shd w:fill="1B2B4B" w:val="clear"/>
        <w:spacing w:after="0"/>
        <w:jc w:val="left"/>
      </w:pPr>
      <w:r>
        <w:rPr>
          <w:b/>
          <w:bCs/>
          <w:color w:val="FFFFFF"/>
          <w:sz w:val="28"/>
          <w:szCs w:val="28"/>
          <w:rFonts w:ascii="Arial" w:cs="Arial" w:eastAsia="Arial" w:hAnsi="Arial"/>
        </w:rPr>
        <w:t xml:space="preserve">Pour une voie réglementaire claire et proportionnée pour les dispositifs médicaux intégrant l'intelligence artificielle en France et en Europe</w:t>
      </w:r>
    </w:p>
    <w:p>
      <w:pPr>
        <w:pBdr>
          <w:bottom w:val="single" w:color="F7941D" w:sz="24" w:space="1"/>
        </w:pBdr>
        <w:shd w:fill="1B2B4B" w:val="clear"/>
        <w:spacing w:after="600"/>
        <w:jc w:val="left"/>
      </w:pPr>
      <w:r>
        <w:rPr>
          <w:sz w:val="4"/>
          <w:szCs w:val="4"/>
          <w:rFonts w:ascii="Arial" w:cs="Arial" w:eastAsia="Arial" w:hAnsi="Arial"/>
        </w:rPr>
      </w:r>
    </w:p>
    <w:p>
      <w:pPr>
        <w:spacing w:before="200" w:after="400"/>
        <w:jc w:val="left"/>
      </w:pPr>
      <w:r>
        <w:rPr>
          <w:b/>
          <w:bCs/>
          <w:color w:val="1B2B4B"/>
          <w:sz w:val="56"/>
          <w:szCs w:val="56"/>
          <w:rFonts w:ascii="Arial" w:cs="Arial" w:eastAsia="Arial" w:hAnsi="Arial"/>
        </w:rPr>
        <w:t xml:space="preserve">Pour une voie réglementaire claire et proportionnée pour les dispositifs médicaux intégrant l'intelligence artificielle en France et en Europe</w:t>
      </w:r>
    </w:p>
    <w:p>
      <w:pPr>
        <w:pBdr>
          <w:bottom w:val="single" w:color="F7941D" w:sz="8" w:space="2"/>
        </w:pBdr>
        <w:spacing w:after="200"/>
        <w:jc w:val="left"/>
      </w:pPr>
      <w:r>
        <w:rPr>
          <w:sz w:val="22"/>
          <w:szCs w:val="22"/>
          <w:rFonts w:ascii="Arial" w:cs="Arial" w:eastAsia="Arial" w:hAnsi="Arial"/>
        </w:rPr>
      </w:r>
    </w:p>
    <w:p>
      <w:pPr>
        <w:spacing w:after="100" w:line="240"/>
        <w:jc w:val="left"/>
      </w:pPr>
      <w:r>
        <w:rPr>
          <w:sz w:val="22"/>
          <w:szCs w:val="22"/>
          <w:rFonts w:ascii="Arial" w:cs="Arial" w:eastAsia="Arial" w:hAnsi="Arial"/>
        </w:rPr>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Organisation:</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t xml:space="preserve">MedIA Solutions SAS</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Jurisdiction:</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t xml:space="preserve">France / Union européenne</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Date,April 2026:</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r>
          </w:p>
        </w:tc>
      </w:tr>
    </w:tbl>
    <w:p>
      <w:pPr>
        <w:spacing w:after="200" w:line="240"/>
        <w:jc w:val="left"/>
      </w:pPr>
      <w:r>
        <w:rPr>
          <w:sz w:val="22"/>
          <w:szCs w:val="22"/>
          <w:rFonts w:ascii="Arial" w:cs="Arial" w:eastAsia="Arial" w:hAnsi="Arial"/>
        </w:rPr>
      </w:r>
    </w:p>
    <w:p>
      <w:pPr>
        <w:jc w:val="left"/>
      </w:pPr>
      <w:r>
        <w:br w:type="page"/>
      </w:r>
    </w:p>
    <w:p>
      <w:pPr>
        <w:sectPr>
          <w:pgSz w:w="11906" w:h="16838" w:orient="portrait"/>
          <w:pgMar w:top="1080" w:right="1080" w:bottom="1080" w:left="1080" w:header="708" w:footer="708" w:gutter="0"/>
          <w:pgNumType/>
          <w:docGrid w:linePitch="360"/>
        </w:sectPr>
      </w:pPr>
    </w:p>
    <w:p>
      <w:pPr>
        <w:pBdr>
          <w:bottom w:val="single" w:color="D0D0D0" w:sz="4" w:space="2"/>
        </w:pBdr>
        <w:spacing w:after="10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DOCUMENT DE POSITION</w:t>
      </w:r>
    </w:p>
    <w:p>
      <w:pPr>
        <w:spacing w:after="60" w:line="240"/>
        <w:jc w:val="left"/>
      </w:pPr>
      <w:r>
        <w:rPr>
          <w:sz w:val="22"/>
          <w:szCs w:val="22"/>
          <w:rFonts w:ascii="Arial" w:cs="Arial" w:eastAsia="Arial" w:hAnsi="Arial"/>
        </w:rP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0D0D0" w:sz="4"/>
              <w:left w:val="single" w:color="D0D0D0" w:sz="4"/>
              <w:bottom w:val="single" w:color="D0D0D0" w:sz="4"/>
              <w:right w:val="single" w:color="D0D0D0" w:sz="4"/>
            </w:tcBorders>
            <w:shd w:fill="1B2B4B" w:val="clear"/>
            <w:tcMar>
              <w:top w:type="dxa" w:w="100"/>
              <w:left w:type="dxa" w:w="180"/>
              <w:bottom w:type="dxa" w:w="100"/>
              <w:right w:type="dxa" w:w="180"/>
            </w:tcMar>
          </w:tcPr>
          <w:p>
            <w:pPr>
              <w:spacing w:after="0" w:line="240"/>
              <w:jc w:val="left"/>
            </w:pPr>
            <w:r>
              <w:rPr>
                <w:b/>
                <w:bCs/>
                <w:color w:val="FFFFFF"/>
                <w:sz w:val="24"/>
                <w:szCs w:val="24"/>
                <w:rFonts w:ascii="Arial" w:cs="Arial" w:eastAsia="Arial" w:hAnsi="Arial"/>
              </w:rPr>
              <w:t xml:space="preserve">Pour une voie réglementaire claire et proportionnée pour les dispositifs médicaux intégrant l'intelligence artificielle en France et en Europe</w:t>
            </w:r>
          </w:p>
        </w:tc>
      </w:tr>
    </w:tbl>
    <w:p>
      <w:pPr>
        <w:spacing w:after="80" w:line="24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MedIA Solutions SAS</w:t>
      </w:r>
    </w:p>
    <w:p>
      <w:pPr>
        <w:spacing w:after="140" w:line="276"/>
        <w:jc w:val="left"/>
      </w:pPr>
      <w:r>
        <w:rPr>
          <w:b/>
          <w:bCs/>
          <w:sz w:val="22"/>
          <w:szCs w:val="22"/>
          <w:rFonts w:ascii="Arial" w:cs="Arial" w:eastAsia="Arial" w:hAnsi="Arial"/>
        </w:rPr>
        <w:t xml:space="preserve">Destinataires :</w:t>
      </w:r>
      <w:r>
        <w:rPr>
          <w:sz w:val="22"/>
          <w:szCs w:val="22"/>
          <w:rFonts w:ascii="Arial" w:cs="Arial" w:eastAsia="Arial" w:hAnsi="Arial"/>
        </w:rPr>
        <w:t xml:space="preserve"> Commission des affaires sociales du Sénat français ; Ministère de la Santé et de la Prévention</w:t>
      </w:r>
    </w:p>
    <w:p>
      <w:pPr>
        <w:spacing w:after="140" w:line="276"/>
        <w:jc w:val="left"/>
      </w:pPr>
      <w:r>
        <w:rPr>
          <w:b/>
          <w:bCs/>
          <w:sz w:val="22"/>
          <w:szCs w:val="22"/>
          <w:rFonts w:ascii="Arial" w:cs="Arial" w:eastAsia="Arial" w:hAnsi="Arial"/>
        </w:rPr>
        <w:t xml:space="preserve">Date :</w:t>
      </w:r>
      <w:r>
        <w:rPr>
          <w:sz w:val="22"/>
          <w:szCs w:val="22"/>
          <w:rFonts w:ascii="Arial" w:cs="Arial" w:eastAsia="Arial" w:hAnsi="Arial"/>
        </w:rPr>
        <w:t xml:space="preserve"> Avril 2026</w:t>
      </w:r>
    </w:p>
    <w:p>
      <w:pPr>
        <w:spacing w:after="140" w:line="276"/>
        <w:jc w:val="left"/>
      </w:pPr>
      <w:r>
        <w:rPr>
          <w:b/>
          <w:bCs/>
          <w:sz w:val="22"/>
          <w:szCs w:val="22"/>
          <w:rFonts w:ascii="Arial" w:cs="Arial" w:eastAsia="Arial" w:hAnsi="Arial"/>
        </w:rPr>
        <w:t xml:space="preserve">Statut :</w:t>
      </w:r>
      <w:r>
        <w:rPr>
          <w:sz w:val="22"/>
          <w:szCs w:val="22"/>
          <w:rFonts w:ascii="Arial" w:cs="Arial" w:eastAsia="Arial" w:hAnsi="Arial"/>
        </w:rPr>
        <w:t xml:space="preserve"> Pour soumission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MESSAGES CLÉS</w:t>
      </w:r>
    </w:p>
    <w:p>
      <w:pPr>
        <w:pStyle w:val="ListParagraph"/>
        <w:numPr>
          <w:ilvl w:val="0"/>
          <w:numId w:val="2"/>
        </w:numPr>
        <w:spacing w:after="100" w:line="276"/>
        <w:ind w:left="720" w:hanging="360"/>
        <w:jc w:val="left"/>
      </w:pPr>
      <w:r>
        <w:rPr>
          <w:b/>
          <w:bCs/>
          <w:sz w:val="22"/>
          <w:szCs w:val="22"/>
          <w:rFonts w:ascii="Arial" w:cs="Arial" w:eastAsia="Arial" w:hAnsi="Arial"/>
        </w:rPr>
        <w:t xml:space="preserve">L'incertitude réglementaire causée par le chevauchement entre l'AI Act et le MDR prive dès aujourd'hui les patients français d'outils diagnostiques innovants en radiologie</w:t>
      </w:r>
      <w:r>
        <w:rPr>
          <w:sz w:val="22"/>
          <w:szCs w:val="22"/>
          <w:rFonts w:ascii="Arial" w:cs="Arial" w:eastAsia="Arial" w:hAnsi="Arial"/>
        </w:rPr>
        <w:t xml:space="preserve">, car les PME MedTech, qui représentent 93 % du tissu industriel du secteur, n'ont ni les ressources financières ni les effectifs réglementaires pour naviguer dans deux cadres cumulés.</w:t>
      </w:r>
    </w:p>
    <w:p>
      <w:pPr>
        <w:pStyle w:val="ListParagraph"/>
        <w:numPr>
          <w:ilvl w:val="0"/>
          <w:numId w:val="2"/>
        </w:numPr>
        <w:spacing w:after="100" w:line="276"/>
        <w:ind w:left="720" w:hanging="360"/>
        <w:jc w:val="left"/>
      </w:pPr>
      <w:r>
        <w:rPr>
          <w:b/>
          <w:bCs/>
          <w:sz w:val="22"/>
          <w:szCs w:val="22"/>
          <w:rFonts w:ascii="Arial" w:cs="Arial" w:eastAsia="Arial" w:hAnsi="Arial"/>
        </w:rPr>
        <w:t xml:space="preserve">La France risque de perdre sa position dans un marché mondial de l'IA médicale estimé à 18,9 milliards USD en 2025 et projeté à 96,5 milliards USD en 2030</w:t>
      </w:r>
      <w:r>
        <w:rPr>
          <w:sz w:val="22"/>
          <w:szCs w:val="22"/>
          <w:rFonts w:ascii="Arial" w:cs="Arial" w:eastAsia="Arial" w:hAnsi="Arial"/>
        </w:rPr>
        <w:t xml:space="preserve">, au profit des États-Unis où la FDA a autorisé 1 451 dispositifs IA à travers des parcours clairs et rapides (délai médian : 142 jours), et du Royaume-Uni qui déploie un cadre agile incluant un bac à sable réglementaire dédié (AI Airlock).</w:t>
      </w:r>
    </w:p>
    <w:p>
      <w:pPr>
        <w:pStyle w:val="ListParagraph"/>
        <w:numPr>
          <w:ilvl w:val="0"/>
          <w:numId w:val="2"/>
        </w:numPr>
        <w:spacing w:after="100" w:line="276"/>
        <w:ind w:left="720" w:hanging="360"/>
        <w:jc w:val="left"/>
      </w:pPr>
      <w:r>
        <w:rPr>
          <w:b/>
          <w:bCs/>
          <w:sz w:val="22"/>
          <w:szCs w:val="22"/>
          <w:rFonts w:ascii="Arial" w:cs="Arial" w:eastAsia="Arial" w:hAnsi="Arial"/>
        </w:rPr>
        <w:t xml:space="preserve">La proposition de simplification de la Commission européenne du 16 décembre 2025 (COM(2025) 1023 final), qui vise à soustraire les dispositifs médicaux IA aux exigences redondantes de l'AI Act</w:t>
      </w:r>
      <w:r>
        <w:rPr>
          <w:sz w:val="22"/>
          <w:szCs w:val="22"/>
          <w:rFonts w:ascii="Arial" w:cs="Arial" w:eastAsia="Arial" w:hAnsi="Arial"/>
        </w:rPr>
        <w:t xml:space="preserve">, constitue une fenêtre d'opportunité que la France doit activement soutenir et compléter par des mesures nationales immédiates.</w:t>
      </w:r>
    </w:p>
    <w:p>
      <w:pPr>
        <w:pStyle w:val="ListParagraph"/>
        <w:numPr>
          <w:ilvl w:val="0"/>
          <w:numId w:val="2"/>
        </w:numPr>
        <w:spacing w:after="100" w:line="276"/>
        <w:ind w:left="720" w:hanging="360"/>
        <w:jc w:val="left"/>
      </w:pPr>
      <w:r>
        <w:rPr>
          <w:b/>
          <w:bCs/>
          <w:sz w:val="22"/>
          <w:szCs w:val="22"/>
          <w:rFonts w:ascii="Arial" w:cs="Arial" w:eastAsia="Arial" w:hAnsi="Arial"/>
        </w:rPr>
        <w:t xml:space="preserve">La création d'un bac à sable réglementaire national dédié à l'IA en santé, piloté conjointement par l'ANSM et la CNIL</w:t>
      </w:r>
      <w:r>
        <w:rPr>
          <w:sz w:val="22"/>
          <w:szCs w:val="22"/>
          <w:rFonts w:ascii="Arial" w:cs="Arial" w:eastAsia="Arial" w:hAnsi="Arial"/>
        </w:rPr>
        <w:t xml:space="preserve">, permettrait aux PME françaises d'innover en conformité et en sécurité, tout en préservant un haut niveau de protection des patients.</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RÉSUMÉ EXÉCUTIF</w:t>
      </w:r>
    </w:p>
    <w:p>
      <w:pPr>
        <w:spacing w:after="140" w:line="276"/>
        <w:jc w:val="left"/>
      </w:pPr>
      <w:r>
        <w:rPr>
          <w:sz w:val="22"/>
          <w:szCs w:val="22"/>
          <w:rFonts w:ascii="Arial" w:cs="Arial" w:eastAsia="Arial" w:hAnsi="Arial"/>
        </w:rPr>
        <w:t xml:space="preserve">Les logiciels d'intelligence artificielle destinés au diagnostic radiologique transforment la prise en charge des patients en améliorant la précision diagnostique, en réduisant les délais d'interprétation et en optimisant les ressources médicales. Pourtant, les PME françaises qui développent ces solutions font face à une impasse réglementaire sans précédent : leurs produits, classés comme dispositifs médicaux de classe IIa ou supérieure au titre du règlement (UE) 2017/745 (MDR), sont automatiquement classés comme systèmes d'IA à « haut risque » au titre du règlement (UE) 2024/1689 (AI Act). Cette double classification génère des obligations cumulées — documentation technique, gestion des risques, évaluation de conformité, surveillance post-marché — dont le chevauchement crée une charge disproportionnée, une insécurité juridique et un surcoût estimé entre 60 000 € et 150 000 € par produit, qui peut s'avérer prohibitif pour une PME.</w:t>
      </w:r>
    </w:p>
    <w:p>
      <w:pPr>
        <w:spacing w:after="140" w:line="276"/>
        <w:jc w:val="left"/>
      </w:pPr>
      <w:r>
        <w:rPr>
          <w:sz w:val="22"/>
          <w:szCs w:val="22"/>
          <w:rFonts w:ascii="Arial" w:cs="Arial" w:eastAsia="Arial" w:hAnsi="Arial"/>
        </w:rPr>
        <w:t xml:space="preserve">Pendant ce temps, les entreprises américaines bénéficient d'un parcours FDA rationalisé qui a autorisé 295 dispositifs IA en 2025 avec un délai médian de 142 jours. Le Royaume-Uni déploie un cadre réglementaire pro-innovation, avec un bac à sable dédié à l'IA médicale (AI Airlock) et une reconnaissance mutuelle des autorisations FDA, Health Canada et TGA.</w:t>
      </w:r>
    </w:p>
    <w:p>
      <w:pPr>
        <w:spacing w:after="140" w:line="276"/>
        <w:jc w:val="left"/>
      </w:pPr>
      <w:r>
        <w:rPr>
          <w:sz w:val="22"/>
          <w:szCs w:val="22"/>
          <w:rFonts w:ascii="Arial" w:cs="Arial" w:eastAsia="Arial" w:hAnsi="Arial"/>
        </w:rPr>
        <w:t xml:space="preserve">Le Sénat et le Ministère disposent du pouvoir d'agir pour mettre fin à cette situation qui pénalise les patients — en retardant leur accès à des outils diagnostiques dont l'efficacité est documentée — et fragilise un tissu industriel stratégique. MedIA Solutions SAS recommande cinq actions concrètes : soutenir activement la proposition de simplification de la Commission européenne, créer un bac à sable réglementaire national dédié à l'IA en santé, renforcer le financement de l'accompagnement réglementaire des PME, accélérer l'accréditation des organismes notifiés pour l'AI Act, et défendre une voie sectorielle intégrée dans les négociations au Conseil.</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1. CONTEXTE ET DÉFINITION DU PROBLÈME</w:t>
      </w:r>
    </w:p>
    <w:p>
      <w:pPr>
        <w:pStyle w:val="Heading3"/>
        <w:spacing w:before="160" w:after="80"/>
        <w:jc w:val="left"/>
      </w:pPr>
      <w:r>
        <w:rPr>
          <w:b/>
          <w:bCs/>
          <w:color w:val="1B2B4B"/>
          <w:sz w:val="23"/>
          <w:szCs w:val="23"/>
          <w:rFonts w:ascii="Arial" w:cs="Arial" w:eastAsia="Arial" w:hAnsi="Arial"/>
        </w:rPr>
        <w:t xml:space="preserve">1.1 Cadre réglementaire actuel</w:t>
      </w:r>
    </w:p>
    <w:p>
      <w:pPr>
        <w:spacing w:after="140" w:line="276"/>
        <w:jc w:val="left"/>
      </w:pPr>
      <w:r>
        <w:rPr>
          <w:sz w:val="22"/>
          <w:szCs w:val="22"/>
          <w:rFonts w:ascii="Arial" w:cs="Arial" w:eastAsia="Arial" w:hAnsi="Arial"/>
        </w:rPr>
        <w:t xml:space="preserve">Le cadre réglementaire applicable aux logiciels d'IA utilisés en diagnostic radiologique repose sur trois textes superposés :</w:t>
      </w:r>
    </w:p>
    <w:p>
      <w:pPr>
        <w:spacing w:before="160" w:after="80"/>
        <w:jc w:val="left"/>
      </w:pPr>
      <w:r>
        <w:rPr>
          <w:b/>
          <w:bCs/>
          <w:color w:val="1B2B4B"/>
          <w:sz w:val="23"/>
          <w:szCs w:val="23"/>
          <w:rFonts w:ascii="Arial" w:cs="Arial" w:eastAsia="Arial" w:hAnsi="Arial"/>
        </w:rPr>
        <w:t xml:space="preserve">Le règlement (UE) 2017/745 sur les dispositifs médicaux (MDR)</w:t>
      </w:r>
    </w:p>
    <w:p>
      <w:pPr>
        <w:spacing w:after="140" w:line="276"/>
        <w:jc w:val="left"/>
      </w:pPr>
      <w:r>
        <w:rPr>
          <w:sz w:val="22"/>
          <w:szCs w:val="22"/>
          <w:rFonts w:ascii="Arial" w:cs="Arial" w:eastAsia="Arial" w:hAnsi="Arial"/>
        </w:rPr>
        <w:t xml:space="preserve">Le MDR, en vigueur depuis le 26 mai 2021, constitue la base réglementaire pour tout logiciel qualifié de dispositif médical. Le MDR a pris effet le 26 mai 2021, établissant des exigences renforcées en matière de sécurité clinique, de performance, de gestion des risques et de documentation technique. Les logiciels de diagnostic radiologique utilisant l'IA sont typiquement classés en classe IIa au minimum en vertu de la règle 11 de l'Annexe VIII du MDR, ce qui impose une évaluation de conformité par un organisme notifié (ON) avant l'obtention du marquage CE.</w:t>
      </w:r>
    </w:p>
    <w:p>
      <w:pPr>
        <w:spacing w:after="140" w:line="276"/>
        <w:jc w:val="left"/>
      </w:pPr>
      <w:r>
        <w:rPr>
          <w:sz w:val="22"/>
          <w:szCs w:val="22"/>
          <w:rFonts w:ascii="Arial" w:cs="Arial" w:eastAsia="Arial" w:hAnsi="Arial"/>
        </w:rPr>
        <w:t xml:space="preserve">Le MDR impose des exigences plus strictes (cliniques, de surveillance post-marché, de documentation renforcée) par rapport aux anciennes directives, augmentant la charge de travail par dossier. Les organismes notifiés rapportent que le délai moyen d'un examen de certification MDR réussi est de 13 à 18 mois, et peut être plus long pour les dispositifs complexes.</w:t>
      </w:r>
    </w:p>
    <w:p>
      <w:pPr>
        <w:spacing w:before="160" w:after="80"/>
        <w:jc w:val="left"/>
      </w:pPr>
      <w:r>
        <w:rPr>
          <w:b/>
          <w:bCs/>
          <w:color w:val="1B2B4B"/>
          <w:sz w:val="23"/>
          <w:szCs w:val="23"/>
          <w:rFonts w:ascii="Arial" w:cs="Arial" w:eastAsia="Arial" w:hAnsi="Arial"/>
        </w:rPr>
        <w:t xml:space="preserve">Le règlement (UE) 2024/1689 sur l'intelligence artificielle (AI Act)</w:t>
      </w:r>
    </w:p>
    <w:p>
      <w:pPr>
        <w:spacing w:after="140" w:line="276"/>
        <w:jc w:val="left"/>
      </w:pPr>
      <w:r>
        <w:rPr>
          <w:sz w:val="22"/>
          <w:szCs w:val="22"/>
          <w:rFonts w:ascii="Arial" w:cs="Arial" w:eastAsia="Arial" w:hAnsi="Arial"/>
        </w:rPr>
        <w:t xml:space="preserve">L'AI Act a été approuvé le 13 mars 2024. Malgré son appellation d'« Act », il s'agit en fait d'un règlement européen (Règlement UE 2024/1689), entré en vigueur le 1er août 2024. L'AI Act est transversal et s'applique donc également aux dispositifs médicaux intégrant l'IA. Les systèmes d'IA à usage médical, dits « Medical device AI » (MDAI), sont classés à haut risque s'ils constituent un composant de sécurité d'un dispositif ou sont eux-mêmes un dispositif médical, et sont soumis à une évaluation de conformité par un organisme notifié. Cela signifie essentiellement que les dispositifs MDR de classe IIa, IIb et III sont normalement classés à haut risque au sens de l'AI Act.</w:t>
      </w:r>
    </w:p>
    <w:p>
      <w:pPr>
        <w:spacing w:after="140" w:line="276"/>
        <w:jc w:val="left"/>
      </w:pPr>
      <w:r>
        <w:rPr>
          <w:sz w:val="22"/>
          <w:szCs w:val="22"/>
          <w:rFonts w:ascii="Arial" w:cs="Arial" w:eastAsia="Arial" w:hAnsi="Arial"/>
        </w:rPr>
        <w:t xml:space="preserve">L'application aux systèmes d'IA à haut risque incorporés dans certains produits réglementés, comme les dispositifs médicaux, est prévue pour le 2 août 2027 </w:t>
      </w:r>
      <w:hyperlink w:history="1" r:id="rIdh84wmfi3mpzeto09lwnx-">
        <w:r>
          <w:rPr>
            <w:u w:val="single" w:color="1155CC"/>
            <w:color w:val="1155CC"/>
            <w:sz w:val="22"/>
            <w:szCs w:val="22"/>
            <w:rFonts w:ascii="Arial" w:cs="Arial" w:eastAsia="Arial" w:hAnsi="Arial"/>
          </w:rPr>
          <w:t xml:space="preserve">Direction générale des Entreprises</w:t>
        </w:r>
      </w:hyperlink>
      <w:r>
        <w:rPr>
          <w:sz w:val="22"/>
          <w:szCs w:val="22"/>
          <w:rFonts w:ascii="Arial" w:cs="Arial" w:eastAsia="Arial" w:hAnsi="Arial"/>
        </w:rPr>
        <w:t xml:space="preserve">.</w:t>
      </w:r>
    </w:p>
    <w:p>
      <w:pPr>
        <w:spacing w:before="160" w:after="80"/>
        <w:jc w:val="left"/>
      </w:pPr>
      <w:r>
        <w:rPr>
          <w:b/>
          <w:bCs/>
          <w:color w:val="1B2B4B"/>
          <w:sz w:val="23"/>
          <w:szCs w:val="23"/>
          <w:rFonts w:ascii="Arial" w:cs="Arial" w:eastAsia="Arial" w:hAnsi="Arial"/>
        </w:rPr>
        <w:t xml:space="preserve">Le RGPD et le cadre national français</w:t>
      </w:r>
    </w:p>
    <w:p>
      <w:pPr>
        <w:spacing w:after="140" w:line="276"/>
        <w:jc w:val="left"/>
      </w:pPr>
      <w:r>
        <w:rPr>
          <w:sz w:val="22"/>
          <w:szCs w:val="22"/>
          <w:rFonts w:ascii="Arial" w:cs="Arial" w:eastAsia="Arial" w:hAnsi="Arial"/>
        </w:rPr>
        <w:t xml:space="preserve">En France, la CNIL a été désignée comme autorité nationale compétente pour superviser l'application de l'AI Act, en coordination avec d'autres autorités sectorielles. L'ANSM conserve ses prérogatives sur la sécurité des dispositifs médicaux. Le cadre français de la santé numérique (Doctrine du Numérique en Santé 2025) impose ses propres exigences d'interopérabilité et de sécurité (INS, DMP/Mon espace santé, MSSanté, Pro Santé Connect).</w:t>
      </w:r>
    </w:p>
    <w:p>
      <w:pPr>
        <w:spacing w:before="160" w:after="80"/>
        <w:jc w:val="left"/>
      </w:pPr>
      <w:r>
        <w:rPr>
          <w:b/>
          <w:bCs/>
          <w:color w:val="1B2B4B"/>
          <w:sz w:val="23"/>
          <w:szCs w:val="23"/>
          <w:rFonts w:ascii="Arial" w:cs="Arial" w:eastAsia="Arial" w:hAnsi="Arial"/>
        </w:rPr>
        <w:t xml:space="preserve">L'écart réglementaire identifié</w:t>
      </w:r>
    </w:p>
    <w:p>
      <w:pPr>
        <w:spacing w:after="140" w:line="276"/>
        <w:jc w:val="left"/>
      </w:pPr>
      <w:r>
        <w:rPr>
          <w:sz w:val="22"/>
          <w:szCs w:val="22"/>
          <w:rFonts w:ascii="Arial" w:cs="Arial" w:eastAsia="Arial" w:hAnsi="Arial"/>
        </w:rPr>
        <w:t xml:space="preserve">Le chevauchement entre l'AI Act et le MDR crée un problème structurel précis. La classification « haut risque » au titre de l'AI Act impose des exigences de conformité qui vont au-delà du MDR/IVDR. Les développeurs et fournisseurs de dispositifs médicaux IA doivent se conformer aux exigences réglementaires des deux cadres — le MDR et l'AI Act. Bien qu'il existe un chevauchement avec les exigences du MDR qui peut être utile pour la conformité à l'AI Act (gestion des risques, SMQ, dossier technique, surveillance post-marché), ce que signifient des exigences similaires dans des règlements différents peut créer de la confusion. La spécificité et l'alignement des exigences seront probablement plus lourds pour les PME, qui doivent souvent prioriser leurs ressources limitées. </w:t>
      </w:r>
      <w:hyperlink w:history="1" r:id="rId_zp5ur9ziafxfchzn24tg">
        <w:r>
          <w:rPr>
            <w:u w:val="single" w:color="1155CC"/>
            <w:color w:val="1155CC"/>
            <w:sz w:val="22"/>
            <w:szCs w:val="22"/>
            <w:rFonts w:ascii="Arial" w:cs="Arial" w:eastAsia="Arial" w:hAnsi="Arial"/>
          </w:rPr>
          <w:t xml:space="preserve">PMC/NPJ Digital Medicine</w:t>
        </w:r>
      </w:hyperlink>
    </w:p>
    <w:p>
      <w:pPr>
        <w:pStyle w:val="Heading3"/>
        <w:spacing w:before="160" w:after="80"/>
        <w:jc w:val="left"/>
      </w:pPr>
      <w:r>
        <w:rPr>
          <w:b/>
          <w:bCs/>
          <w:color w:val="1B2B4B"/>
          <w:sz w:val="23"/>
          <w:szCs w:val="23"/>
          <w:rFonts w:ascii="Arial" w:cs="Arial" w:eastAsia="Arial" w:hAnsi="Arial"/>
        </w:rPr>
        <w:t xml:space="preserve">1.2 Le problème</w:t>
      </w:r>
    </w:p>
    <w:p>
      <w:pPr>
        <w:spacing w:before="160" w:after="80"/>
        <w:jc w:val="left"/>
      </w:pPr>
      <w:r>
        <w:rPr>
          <w:b/>
          <w:bCs/>
          <w:color w:val="1B2B4B"/>
          <w:sz w:val="23"/>
          <w:szCs w:val="23"/>
          <w:rFonts w:ascii="Arial" w:cs="Arial" w:eastAsia="Arial" w:hAnsi="Arial"/>
        </w:rPr>
        <w:t xml:space="preserve">Qui est affecté ?</w:t>
      </w:r>
    </w:p>
    <w:p>
      <w:pPr>
        <w:spacing w:after="140" w:line="276"/>
        <w:jc w:val="left"/>
      </w:pPr>
      <w:r>
        <w:rPr>
          <w:sz w:val="22"/>
          <w:szCs w:val="22"/>
          <w:rFonts w:ascii="Arial" w:cs="Arial" w:eastAsia="Arial" w:hAnsi="Arial"/>
        </w:rPr>
        <w:t xml:space="preserve">La filière française du dispositif médical compte environ 1 500 entreprises (françaises et étrangères), dont 93 % de start-ups et PME </w:t>
      </w:r>
      <w:hyperlink w:history="1" r:id="rId-ky23q4y35a2rvmcrwsja">
        <w:r>
          <w:rPr>
            <w:u w:val="single" w:color="1155CC"/>
            <w:color w:val="1155CC"/>
            <w:sz w:val="22"/>
            <w:szCs w:val="22"/>
            <w:rFonts w:ascii="Arial" w:cs="Arial" w:eastAsia="Arial" w:hAnsi="Arial"/>
          </w:rPr>
          <w:t xml:space="preserve">Ministère de l'Économie</w:t>
        </w:r>
      </w:hyperlink>
      <w:r>
        <w:rPr>
          <w:sz w:val="22"/>
          <w:szCs w:val="22"/>
          <w:rFonts w:ascii="Arial" w:cs="Arial" w:eastAsia="Arial" w:hAnsi="Arial"/>
        </w:rPr>
        <w:t xml:space="preserve">. La santé numérique et l'intelligence artificielle constituent l'un des segments les plus dynamiques de la HealthTech française. Plus jeune (7 ans d'âge moyen) que le reste de l'écosystème, ce segment affiche 76 % de solutions déjà commercialisées. Cette agilité s'explique notamment par des cycles de développement plus courts. </w:t>
      </w:r>
      <w:hyperlink w:history="1" r:id="rIdbrdsowethbefxseavtb_k">
        <w:r>
          <w:rPr>
            <w:u w:val="single" w:color="1155CC"/>
            <w:color w:val="1155CC"/>
            <w:sz w:val="22"/>
            <w:szCs w:val="22"/>
            <w:rFonts w:ascii="Arial" w:cs="Arial" w:eastAsia="Arial" w:hAnsi="Arial"/>
          </w:rPr>
          <w:t xml:space="preserve">DeviceMed.fr</w:t>
        </w:r>
      </w:hyperlink>
    </w:p>
    <w:p>
      <w:pPr>
        <w:spacing w:after="140" w:line="276"/>
        <w:jc w:val="left"/>
      </w:pPr>
      <w:r>
        <w:rPr>
          <w:sz w:val="22"/>
          <w:szCs w:val="22"/>
          <w:rFonts w:ascii="Arial" w:cs="Arial" w:eastAsia="Arial" w:hAnsi="Arial"/>
        </w:rPr>
        <w:t xml:space="preserve">Cependant, la filière évolue désormais dans un contexte de durcissement simultané des contraintes financières, réglementaires et d'accès au marché. Moins de 15 % des MedTech sont conformes aux exigences cumulées, avec un budget de conformité estimé entre 60 000 et 100 000 € par produit pour l'AI Act seul, auxquels s'ajoutent 50 000 à 150 000 € pour l'EHDS </w:t>
      </w:r>
      <w:hyperlink w:history="1" r:id="rIdt59-g2dec_v8_9vtqmknt">
        <w:r>
          <w:rPr>
            <w:u w:val="single" w:color="1155CC"/>
            <w:color w:val="1155CC"/>
            <w:sz w:val="22"/>
            <w:szCs w:val="22"/>
            <w:rFonts w:ascii="Arial" w:cs="Arial" w:eastAsia="Arial" w:hAnsi="Arial"/>
          </w:rPr>
          <w:t xml:space="preserve">DSIH</w:t>
        </w:r>
      </w:hyperlink>
      <w:r>
        <w:rPr>
          <w:sz w:val="22"/>
          <w:szCs w:val="22"/>
          <w:rFonts w:ascii="Arial" w:cs="Arial" w:eastAsia="Arial" w:hAnsi="Arial"/>
        </w:rPr>
        <w:t xml:space="preserve">.</w:t>
      </w:r>
    </w:p>
    <w:p>
      <w:pPr>
        <w:spacing w:before="160" w:after="80"/>
        <w:jc w:val="left"/>
      </w:pPr>
      <w:r>
        <w:rPr>
          <w:b/>
          <w:bCs/>
          <w:color w:val="1B2B4B"/>
          <w:sz w:val="23"/>
          <w:szCs w:val="23"/>
          <w:rFonts w:ascii="Arial" w:cs="Arial" w:eastAsia="Arial" w:hAnsi="Arial"/>
        </w:rPr>
        <w:t xml:space="preserve">Quelle est la nature du préjudice ?</w:t>
      </w:r>
    </w:p>
    <w:p>
      <w:pPr>
        <w:spacing w:after="140" w:line="276"/>
        <w:jc w:val="left"/>
      </w:pPr>
      <w:r>
        <w:rPr>
          <w:sz w:val="22"/>
          <w:szCs w:val="22"/>
          <w:rFonts w:ascii="Arial" w:cs="Arial" w:eastAsia="Arial" w:hAnsi="Arial"/>
        </w:rPr>
        <w:t xml:space="preserve">Le problème se manifeste selon trois dimensions :</w:t>
      </w:r>
    </w:p>
    <w:p>
      <w:pPr>
        <w:pStyle w:val="ListParagraph"/>
        <w:numPr>
          <w:ilvl w:val="0"/>
          <w:numId w:val="3"/>
        </w:numPr>
        <w:spacing w:after="100" w:line="276"/>
        <w:ind w:left="720" w:hanging="360"/>
        <w:jc w:val="left"/>
      </w:pPr>
      <w:r>
        <w:rPr>
          <w:b/>
          <w:bCs/>
          <w:sz w:val="22"/>
          <w:szCs w:val="22"/>
          <w:rFonts w:ascii="Arial" w:cs="Arial" w:eastAsia="Arial" w:hAnsi="Arial"/>
        </w:rPr>
        <w:t xml:space="preserve">Pour les patients</w:t>
      </w:r>
      <w:r>
        <w:rPr>
          <w:sz w:val="22"/>
          <w:szCs w:val="22"/>
          <w:rFonts w:ascii="Arial" w:cs="Arial" w:eastAsia="Arial" w:hAnsi="Arial"/>
        </w:rPr>
        <w:t xml:space="preserve"> : Les retards de mise sur le marché privent les patients d'outils diagnostiques validés. La mise en œuvre du MDR et de l'IVDR a été problématique, tous les acteurs ayant eu des difficultés à s'adapter aux nouvelles exigences juridiques. Malgré les extensions de délais, les retards dans l'obtention des marquages CE persistent, et les règles étouffent l'innovation avec un impact sur les patients lorsque des dispositifs sont retirés du marché. </w:t>
      </w:r>
      <w:hyperlink w:history="1" r:id="rIdn-kzwmzi6eqiee1lzkfu-">
        <w:r>
          <w:rPr>
            <w:u w:val="single" w:color="1155CC"/>
            <w:color w:val="1155CC"/>
            <w:sz w:val="22"/>
            <w:szCs w:val="22"/>
            <w:rFonts w:ascii="Arial" w:cs="Arial" w:eastAsia="Arial" w:hAnsi="Arial"/>
          </w:rPr>
          <w:t xml:space="preserve">Morgan Lewis</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Pour les PME françaises</w:t>
      </w:r>
      <w:r>
        <w:rPr>
          <w:sz w:val="22"/>
          <w:szCs w:val="22"/>
          <w:rFonts w:ascii="Arial" w:cs="Arial" w:eastAsia="Arial" w:hAnsi="Arial"/>
        </w:rPr>
        <w:t xml:space="preserve"> : L'intelligence artificielle médicale est désormais soumise à une triple exigence : le MDR, l'IVDR et le nouvel AI Act européen. Trois textes qui s'empilent, mais surtout s'emboîtent. Le coût d'une non-conformité peut atteindre 15 millions d'euros ou 3 % du CA mondial pour le non-respect des exigences à haut risque </w:t>
      </w:r>
      <w:hyperlink w:history="1" r:id="rId50_tbp3o3mt7crljmh1dx">
        <w:r>
          <w:rPr>
            <w:u w:val="single" w:color="1155CC"/>
            <w:color w:val="1155CC"/>
            <w:sz w:val="22"/>
            <w:szCs w:val="22"/>
            <w:rFonts w:ascii="Arial" w:cs="Arial" w:eastAsia="Arial" w:hAnsi="Arial"/>
          </w:rPr>
          <w:t xml:space="preserve">MedTech France</w:t>
        </w:r>
      </w:hyperlink>
      <w:r>
        <w:rPr>
          <w:sz w:val="22"/>
          <w:szCs w:val="22"/>
          <w:rFonts w:ascii="Arial" w:cs="Arial" w:eastAsia="Arial" w:hAnsi="Arial"/>
        </w:rPr>
        <w:t xml:space="preserve">.</w:t>
      </w:r>
    </w:p>
    <w:p>
      <w:pPr>
        <w:pStyle w:val="ListParagraph"/>
        <w:numPr>
          <w:ilvl w:val="0"/>
          <w:numId w:val="3"/>
        </w:numPr>
        <w:spacing w:after="100" w:line="276"/>
        <w:ind w:left="720" w:hanging="360"/>
        <w:jc w:val="left"/>
      </w:pPr>
      <w:r>
        <w:rPr>
          <w:b/>
          <w:bCs/>
          <w:sz w:val="22"/>
          <w:szCs w:val="22"/>
          <w:rFonts w:ascii="Arial" w:cs="Arial" w:eastAsia="Arial" w:hAnsi="Arial"/>
        </w:rPr>
        <w:t xml:space="preserve">Pour la compétitivité européenne</w:t>
      </w:r>
      <w:r>
        <w:rPr>
          <w:sz w:val="22"/>
          <w:szCs w:val="22"/>
          <w:rFonts w:ascii="Arial" w:cs="Arial" w:eastAsia="Arial" w:hAnsi="Arial"/>
        </w:rPr>
        <w:t xml:space="preserve"> : La pénurie d'organismes notifiés en Europe reste l'un des obstacles majeurs à une transition fluide vers un marché pleinement conforme au MDR/IVDR. Le nombre d'ON pourrait passer de 51 actuellement à 85 d'ici fin 2027 et à plus de 100 en 2028 </w:t>
      </w:r>
      <w:hyperlink w:history="1" r:id="rIdji0nk8bofkqqr8pk6szhn">
        <w:r>
          <w:rPr>
            <w:u w:val="single" w:color="1155CC"/>
            <w:color w:val="1155CC"/>
            <w:sz w:val="22"/>
            <w:szCs w:val="22"/>
            <w:rFonts w:ascii="Arial" w:cs="Arial" w:eastAsia="Arial" w:hAnsi="Arial"/>
          </w:rPr>
          <w:t xml:space="preserve">AbroadLink</w:t>
        </w:r>
      </w:hyperlink>
      <w:r>
        <w:rPr>
          <w:sz w:val="22"/>
          <w:szCs w:val="22"/>
          <w:rFonts w:ascii="Arial" w:cs="Arial" w:eastAsia="Arial" w:hAnsi="Arial"/>
        </w:rPr>
        <w:t xml:space="preserve"> — un rythme insuffisant face à la demande. L'ajout des compétences AI Act à ces ON crée une contrainte supplémentaire.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2. OBJECTIFS POLITIQUES</w:t>
      </w:r>
    </w:p>
    <w:p>
      <w:pPr>
        <w:spacing w:after="140" w:line="276"/>
        <w:jc w:val="left"/>
      </w:pPr>
      <w:r>
        <w:rPr>
          <w:b/>
          <w:bCs/>
          <w:sz w:val="22"/>
          <w:szCs w:val="22"/>
          <w:rFonts w:ascii="Arial" w:cs="Arial" w:eastAsia="Arial" w:hAnsi="Arial"/>
        </w:rPr>
        <w:t xml:space="preserve">Objectif principal (SMART)</w:t>
      </w:r>
      <w:r>
        <w:rPr>
          <w:sz w:val="22"/>
          <w:szCs w:val="22"/>
          <w:rFonts w:ascii="Arial" w:cs="Arial" w:eastAsia="Arial" w:hAnsi="Arial"/>
        </w:rPr>
        <w:t xml:space="preserve"> : Obtenir, d'ici le 2 août 2027 (date d'application de l'AI Act aux dispositifs médicaux), un cadre réglementaire intégré qui élimine les redondances entre le MDR et l'AI Act pour les dispositifs médicaux incorporant de l'IA, tout en préservant un haut niveau de sécurité des patients.</w:t>
      </w:r>
    </w:p>
    <w:p>
      <w:pPr>
        <w:spacing w:after="140" w:line="276"/>
        <w:jc w:val="left"/>
      </w:pPr>
      <w:r>
        <w:rPr>
          <w:b/>
          <w:bCs/>
          <w:sz w:val="22"/>
          <w:szCs w:val="22"/>
          <w:rFonts w:ascii="Arial" w:cs="Arial" w:eastAsia="Arial" w:hAnsi="Arial"/>
        </w:rPr>
        <w:t xml:space="preserve">Objectifs secondaires</w:t>
      </w:r>
      <w:r>
        <w:rPr>
          <w:sz w:val="22"/>
          <w:szCs w:val="22"/>
          <w:rFonts w:ascii="Arial" w:cs="Arial" w:eastAsia="Arial" w:hAnsi="Arial"/>
        </w:rPr>
        <w:t xml:space="preserve"> :</w:t>
      </w:r>
    </w:p>
    <w:p>
      <w:pPr>
        <w:pStyle w:val="ListParagraph"/>
        <w:numPr>
          <w:ilvl w:val="0"/>
          <w:numId w:val="3"/>
        </w:numPr>
        <w:spacing w:after="100" w:line="276"/>
        <w:ind w:left="720" w:hanging="360"/>
        <w:jc w:val="left"/>
      </w:pPr>
      <w:r>
        <w:rPr>
          <w:b/>
          <w:bCs/>
          <w:sz w:val="22"/>
          <w:szCs w:val="22"/>
          <w:rFonts w:ascii="Arial" w:cs="Arial" w:eastAsia="Arial" w:hAnsi="Arial"/>
        </w:rPr>
        <w:t xml:space="preserve">Avant fin 2026</w:t>
      </w:r>
      <w:r>
        <w:rPr>
          <w:sz w:val="22"/>
          <w:szCs w:val="22"/>
          <w:rFonts w:ascii="Arial" w:cs="Arial" w:eastAsia="Arial" w:hAnsi="Arial"/>
        </w:rPr>
        <w:t xml:space="preserve"> : Mise en place d'un bac à sable réglementaire national dédié à l'IA en santé, conformément à l'article 57 de l'AI Act qui impose aux États membres d'établir au moins un bac à sable d'ici le 2 août 2026 — chaque État membre doit établir au moins un bac à sable réglementaire IA au niveau national d'ici le 2 août 2026 </w:t>
      </w:r>
      <w:hyperlink w:history="1" r:id="rIdohpbxcmeg85x3hk9zqv1e">
        <w:r>
          <w:rPr>
            <w:u w:val="single" w:color="1155CC"/>
            <w:color w:val="1155CC"/>
            <w:sz w:val="22"/>
            <w:szCs w:val="22"/>
            <w:rFonts w:ascii="Arial" w:cs="Arial" w:eastAsia="Arial" w:hAnsi="Arial"/>
          </w:rPr>
          <w:t xml:space="preserve">AI Act EU</w:t>
        </w:r>
      </w:hyperlink>
      <w:r>
        <w:rPr>
          <w:sz w:val="22"/>
          <w:szCs w:val="22"/>
          <w:rFonts w:ascii="Arial" w:cs="Arial" w:eastAsia="Arial" w:hAnsi="Arial"/>
        </w:rPr>
        <w:t xml:space="preserve">.</w:t>
      </w:r>
    </w:p>
    <w:p>
      <w:pPr>
        <w:pStyle w:val="ListParagraph"/>
        <w:numPr>
          <w:ilvl w:val="0"/>
          <w:numId w:val="3"/>
        </w:numPr>
        <w:spacing w:after="100" w:line="276"/>
        <w:ind w:left="720" w:hanging="360"/>
        <w:jc w:val="left"/>
      </w:pPr>
      <w:r>
        <w:rPr>
          <w:b/>
          <w:bCs/>
          <w:sz w:val="22"/>
          <w:szCs w:val="22"/>
          <w:rFonts w:ascii="Arial" w:cs="Arial" w:eastAsia="Arial" w:hAnsi="Arial"/>
        </w:rPr>
        <w:t xml:space="preserve">Avant fin 2026</w:t>
      </w:r>
      <w:r>
        <w:rPr>
          <w:sz w:val="22"/>
          <w:szCs w:val="22"/>
          <w:rFonts w:ascii="Arial" w:cs="Arial" w:eastAsia="Arial" w:hAnsi="Arial"/>
        </w:rPr>
        <w:t xml:space="preserve"> : Adoption d'un mécanisme de financement renforcé pour l'accompagnement réglementaire des PME MedTech IA, via Bpifrance ou le programme France 2030.</w:t>
      </w:r>
    </w:p>
    <w:p>
      <w:pPr>
        <w:pStyle w:val="ListParagraph"/>
        <w:numPr>
          <w:ilvl w:val="0"/>
          <w:numId w:val="3"/>
        </w:numPr>
        <w:spacing w:after="100" w:line="276"/>
        <w:ind w:left="720" w:hanging="360"/>
        <w:jc w:val="left"/>
      </w:pPr>
      <w:r>
        <w:rPr>
          <w:b/>
          <w:bCs/>
          <w:sz w:val="22"/>
          <w:szCs w:val="22"/>
          <w:rFonts w:ascii="Arial" w:cs="Arial" w:eastAsia="Arial" w:hAnsi="Arial"/>
        </w:rPr>
        <w:t xml:space="preserve">Pendant les négociations au Conseil (2026)</w:t>
      </w:r>
      <w:r>
        <w:rPr>
          <w:sz w:val="22"/>
          <w:szCs w:val="22"/>
          <w:rFonts w:ascii="Arial" w:cs="Arial" w:eastAsia="Arial" w:hAnsi="Arial"/>
        </w:rPr>
        <w:t xml:space="preserve"> : Position française active en faveur du transfert des dispositifs médicaux IA de la Section A à la Section B de l'AI Act, conformément à la proposition COM(2025) 1023 final.</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3. COMPARAISON INTERNATIONALE</w:t>
      </w:r>
    </w:p>
    <w:p>
      <w:pPr>
        <w:pStyle w:val="Heading3"/>
        <w:spacing w:before="160" w:after="80"/>
        <w:jc w:val="left"/>
      </w:pPr>
      <w:r>
        <w:rPr>
          <w:b/>
          <w:bCs/>
          <w:color w:val="1B2B4B"/>
          <w:sz w:val="23"/>
          <w:szCs w:val="23"/>
          <w:rFonts w:ascii="Arial" w:cs="Arial" w:eastAsia="Arial" w:hAnsi="Arial"/>
        </w:rPr>
        <w:t xml:space="preserve">Tableau comparatif</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6"/>
        <w:gridCol w:w="1606"/>
        <w:gridCol w:w="1606"/>
        <w:gridCol w:w="1606"/>
        <w:gridCol w:w="1606"/>
        <w:gridCol w:w="1608"/>
      </w:tblGrid>
      <w:tr>
        <w:trPr>
          <w:tblHeader/>
        </w:trPr>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**Pays**</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**Politique / Instrument**</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**Année**</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**Résultat clé**</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**Mécanisme**</w:t>
            </w:r>
          </w:p>
        </w:tc>
        <w:tc>
          <w:tcPr>
            <w:tcW w:type="dxa" w:w="1608"/>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**Source**</w:t>
            </w:r>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États-Unis</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Voie 510(k) + PCCP (Predetermined Change Control Plans)</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2024-2025</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1 451 dispositifs IA autorisés cumulativement ; 295 en 2025 seul ; délai médian 142 jours</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Voie unique FDA sans superposition IA ; plans de modification prédéterminés</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hyperlink w:history="1" r:id="rIdwln4jojhtpaoulx408ti5">
              <w:r>
                <w:rPr>
                  <w:u w:val="single" w:color="1155CC"/>
                  <w:color w:val="1155CC"/>
                  <w:sz w:val="19"/>
                  <w:szCs w:val="19"/>
                  <w:rFonts w:ascii="Arial" w:cs="Arial" w:eastAsia="Arial" w:hAnsi="Arial"/>
                </w:rPr>
                <w:t xml:space="preserve">FDA AI-Enabled Devices</w:t>
              </w:r>
            </w:hyperlink>
            <w:r>
              <w:rPr>
                <w:sz w:val="19"/>
                <w:szCs w:val="19"/>
                <w:rFonts w:ascii="Arial" w:cs="Arial" w:eastAsia="Arial" w:hAnsi="Arial"/>
              </w:rPr>
              <w:t xml:space="preserve"> ; </w:t>
            </w:r>
            <w:hyperlink w:history="1" r:id="rIdo6i5uqp6l5rimwvoxfzdj">
              <w:r>
                <w:rPr>
                  <w:u w:val="single" w:color="1155CC"/>
                  <w:color w:val="1155CC"/>
                  <w:sz w:val="19"/>
                  <w:szCs w:val="19"/>
                  <w:rFonts w:ascii="Arial" w:cs="Arial" w:eastAsia="Arial" w:hAnsi="Arial"/>
                </w:rPr>
                <w:t xml:space="preserve">Innolitics 2025</w:t>
              </w:r>
            </w:hyperlink>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Royaume-Uni</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AI Airlock + Réforme MHRA juillet 2025 + Commission nationale IA en santé</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2023-2026</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Bac à sable opérationnel ; reconnaissance mutuelle FDA/TGA/Health Canada ; cadre spécifique IA en cours</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Sandbox dédié ; reliance internationale ; commission dédiée</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hyperlink w:history="1" r:id="rIdtpass_edkrvymb9guazoh">
              <w:r>
                <w:rPr>
                  <w:u w:val="single" w:color="1155CC"/>
                  <w:color w:val="1155CC"/>
                  <w:sz w:val="19"/>
                  <w:szCs w:val="19"/>
                  <w:rFonts w:ascii="Arial" w:cs="Arial" w:eastAsia="Arial" w:hAnsi="Arial"/>
                </w:rPr>
                <w:t xml:space="preserve">GOV.UK MHRA</w:t>
              </w:r>
            </w:hyperlink>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UE</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Proposition COM(2025) 1023 (Simplification MDR/IVDR)</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Déc. 2025</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Réduction de 30 % de la charge administrative ; économies annuelles estimées à 3,3 Md€ ; transfert IA vers Section B</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Révision législative ; intégration AI Act dans le MDR</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hyperlink w:history="1" r:id="rId7y-bt2qxax-mx_ybf77df">
              <w:r>
                <w:rPr>
                  <w:u w:val="single" w:color="1155CC"/>
                  <w:color w:val="1155CC"/>
                  <w:sz w:val="19"/>
                  <w:szCs w:val="19"/>
                  <w:rFonts w:ascii="Arial" w:cs="Arial" w:eastAsia="Arial" w:hAnsi="Arial"/>
                </w:rPr>
                <w:t xml:space="preserve">EUR-Lex COM(2025) 1023</w:t>
              </w:r>
            </w:hyperlink>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Japon</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Regulatory Science Innovation Plan (PMDA)</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2023-2025</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Voie accélérée pour SaMD innovants ; reconnaissance IMDRF</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Cadre sectoriel intégré</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PMDA</w:t>
            </w:r>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Singapour</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HSA AI Framework + AIDA sandbox</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2024-2025</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Parcours proportionné aux risques ; harmonisation avec IMDRF</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Approche par principes</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HSA</w:t>
            </w:r>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Chine</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NMPA AI device registration + CBIIT</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2024-2025</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Augmentation rapide des enregistrements de DM innovants intégrant l'IA</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Registre et voie dédiée</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NMPA</w:t>
            </w:r>
          </w:p>
        </w:tc>
      </w:tr>
    </w:tbl>
    <w:p>
      <w:pPr>
        <w:spacing w:after="80" w:line="24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Analyse narrative</w:t>
      </w:r>
    </w:p>
    <w:p>
      <w:pPr>
        <w:spacing w:after="140" w:line="276"/>
        <w:jc w:val="left"/>
      </w:pPr>
      <w:r>
        <w:rPr>
          <w:sz w:val="22"/>
          <w:szCs w:val="22"/>
          <w:rFonts w:ascii="Arial" w:cs="Arial" w:eastAsia="Arial" w:hAnsi="Arial"/>
        </w:rPr>
        <w:t xml:space="preserve">L'analyse comparative révèle un contraste saisissant entre l'approche européenne et celle de ses principaux concurrents. En 2025, la FDA a autorisé 295 dispositifs médicaux IA/ML, un chiffre record. Le délai médian de mise en conformité était de 142 jours, avec un quart des soumissions traitées en moins de 90 jours. Ce dynamisme repose sur une voie unique (510(k)) sans superposition de cadres réglementaires IA distincts, complétée par un mécanisme de plans de modification prédéterminés (PCCP) qui permet aux algorithmes d'évoluer après mise sur le marché.</w:t>
      </w:r>
    </w:p>
    <w:p>
      <w:pPr>
        <w:spacing w:after="140" w:line="276"/>
        <w:jc w:val="left"/>
      </w:pPr>
      <w:r>
        <w:rPr>
          <w:sz w:val="22"/>
          <w:szCs w:val="22"/>
          <w:rFonts w:ascii="Arial" w:cs="Arial" w:eastAsia="Arial" w:hAnsi="Arial"/>
        </w:rPr>
        <w:t xml:space="preserve">Le Royaume-Uni post-Brexit a développé une approche délibérément pro-innovation. Le bac à sable réglementaire AI Airlock, premier au monde pour l'IA comme dispositif médical, a achevé sa phase pilote et publié ses résultats en mars 2025. Le 22 juillet 2025, la MHRA a publié un ensemble de réformes reposant sur le principe que si la FDA, Health Canada ou la TGA australienne a déjà jugé un dispositif sûr et efficace, le Royaume-Uni ne devrait pas demander aux industriels de payer deux fois le même travail. En décembre 2025, la MHRA a lancé un appel à contributions pour soutenir le travail de la Commission nationale sur la régulation de l'IA en santé. </w:t>
      </w:r>
      <w:hyperlink w:history="1" r:id="rIdncht9jdo2yoyd04d_3u3q">
        <w:r>
          <w:rPr>
            <w:u w:val="single" w:color="1155CC"/>
            <w:color w:val="1155CC"/>
            <w:sz w:val="22"/>
            <w:szCs w:val="22"/>
            <w:rFonts w:ascii="Arial" w:cs="Arial" w:eastAsia="Arial" w:hAnsi="Arial"/>
          </w:rPr>
          <w:t xml:space="preserve">GOV.UK</w:t>
        </w:r>
      </w:hyperlink>
    </w:p>
    <w:p>
      <w:pPr>
        <w:spacing w:after="140" w:line="276"/>
        <w:jc w:val="left"/>
      </w:pPr>
      <w:r>
        <w:rPr>
          <w:sz w:val="22"/>
          <w:szCs w:val="22"/>
          <w:rFonts w:ascii="Arial" w:cs="Arial" w:eastAsia="Arial" w:hAnsi="Arial"/>
        </w:rPr>
        <w:t xml:space="preserve">En Europe, la prise de conscience est réelle. La proposition de simplification vise à réduire la charge administrative d'environ 30 %, et la Commission estime que les changements pourraient générer des économies annuelles combinées dépassant 3,3 milliards d'euros. Le MDR et l'IVDR seraient déplacés de la Section A à la Section B de l'AI Act, ce qui signifie que les dispositifs médicaux IA n'auraient qu'à se conformer aux exigences IA définies dans la législation sectorielle (MDR/IVDR), et non à l'ensemble des exigences AI Act pour les systèmes à haut risque. </w:t>
      </w:r>
      <w:hyperlink w:history="1" r:id="rIddzi7z9umbkkxx2bdfoqr8">
        <w:r>
          <w:rPr>
            <w:u w:val="single" w:color="1155CC"/>
            <w:color w:val="1155CC"/>
            <w:sz w:val="22"/>
            <w:szCs w:val="22"/>
            <w:rFonts w:ascii="Arial" w:cs="Arial" w:eastAsia="Arial" w:hAnsi="Arial"/>
          </w:rPr>
          <w:t xml:space="preserve">MedDeviceGuide</w:t>
        </w:r>
      </w:hyperlink>
    </w:p>
    <w:p>
      <w:pPr>
        <w:spacing w:after="140" w:line="276"/>
        <w:jc w:val="left"/>
      </w:pPr>
      <w:r>
        <w:rPr>
          <w:sz w:val="22"/>
          <w:szCs w:val="22"/>
          <w:rFonts w:ascii="Arial" w:cs="Arial" w:eastAsia="Arial" w:hAnsi="Arial"/>
        </w:rPr>
        <w:t xml:space="preserve">La leçon clé : </w:t>
      </w:r>
      <w:r>
        <w:rPr>
          <w:b/>
          <w:bCs/>
          <w:sz w:val="22"/>
          <w:szCs w:val="22"/>
          <w:rFonts w:ascii="Arial" w:cs="Arial" w:eastAsia="Arial" w:hAnsi="Arial"/>
        </w:rPr>
        <w:t xml:space="preserve">les juridictions les plus compétitives sont celles qui ont intégré la régulation de l'IA dans le cadre sectoriel existant, plutôt que de superposer un cadre horizontal supplémentaire</w:t>
      </w:r>
      <w:r>
        <w:rPr>
          <w:sz w:val="22"/>
          <w:szCs w:val="22"/>
          <w:rFonts w:ascii="Arial" w:cs="Arial" w:eastAsia="Arial" w:hAnsi="Arial"/>
        </w:rPr>
        <w:t xml:space="preserv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4. ANALYSE DES OPTIONS POLITIQUES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30"/>
      </w:tblGrid>
      <w:tr>
        <w:trPr>
          <w:tblHeader/>
        </w:trPr>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**Option**</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**Description**</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**Avantages**</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**Inconvénients**</w:t>
            </w:r>
          </w:p>
        </w:tc>
        <w:tc>
          <w:tcPr>
            <w:tcW w:type="dxa" w:w="1930"/>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**Calendrier / Coût**</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A : Statu quo</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Application cumulative MDR + AI Act sans mesure d'accompagnement nationale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Aucun coût législatif immédiat</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Charge insoutenable pour les PME ; retard d'accès pour les patients ; décrochage compétitif ; sanctions potentielles de 15 M€ ou 3 % CA mondial</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Immédiat / Coût d'inaction élevé</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B : Accompagnement national sans modification du cadre UE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Création du bac à sable IA-santé national ; renforcement du financement BPI ; guides ANSM/CNIL</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Compatible avec le cadre UE existant ; mise en œuvre rapide ; soutien ciblé aux PME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Ne résout pas le problème structurel de la double conformité ; effet limité sans révision du cadre européen</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6-12 mois / 15-25 M€</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C : Soutien actif de la France à la simplification européenne + mesures nationales</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Combinaison : position française forte au Conseil pour la proposition COM(2025) 1023 + bac à sable national + accompagnement PME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Résolution structurelle du problème à l'échelle UE ; mesures nationales complémentaires immédiates ; positionnement de la France comme leader</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Dépend de l'issue des négociations au Parlement et au Conseil ; calendrier européen incertain</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12-24 mois (UE) + 6 mois (national) / 25-40 M€</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D : Initiative législative française isolée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Loi nationale fixant des dispenses spécifiques pour les DM IA</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Rapidité de mise en œuvre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Risque juridique élevé (primauté du droit UE) ; fragmentation du marché intérieur ; opposition prévisible de la Commission</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Non recommandée</w:t>
            </w:r>
          </w:p>
        </w:tc>
      </w:tr>
    </w:tbl>
    <w:p>
      <w:pPr>
        <w:spacing w:after="80" w:line="240"/>
        <w:jc w:val="left"/>
      </w:pPr>
      <w:r>
        <w:rPr>
          <w:sz w:val="22"/>
          <w:szCs w:val="22"/>
          <w:rFonts w:ascii="Arial" w:cs="Arial" w:eastAsia="Arial" w:hAnsi="Arial"/>
        </w:rPr>
      </w:r>
    </w:p>
    <w:p>
      <w:pPr>
        <w:spacing w:after="140" w:line="276"/>
        <w:jc w:val="left"/>
      </w:pPr>
      <w:r>
        <w:rPr>
          <w:b/>
          <w:bCs/>
          <w:sz w:val="22"/>
          <w:szCs w:val="22"/>
          <w:rFonts w:ascii="Arial" w:cs="Arial" w:eastAsia="Arial" w:hAnsi="Arial"/>
        </w:rPr>
        <w:t xml:space="preserve">L'option C constitue l'approche recommandée</w:t>
      </w:r>
      <w:r>
        <w:rPr>
          <w:sz w:val="22"/>
          <w:szCs w:val="22"/>
          <w:rFonts w:ascii="Arial" w:cs="Arial" w:eastAsia="Arial" w:hAnsi="Arial"/>
        </w:rPr>
        <w:t xml:space="preserve">, car elle combine une action structurelle au niveau européen — alignée sur la proposition de la Commission et les positions de MedTech Europe — avec des mesures nationales d'accompagnement dont la France a la pleine maîtrise. Elle est juridiquement solide, politiquement réaliste et directement bénéfique aux patients et aux PME.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5. COÛT DE L'INACTION</w:t>
      </w:r>
    </w:p>
    <w:p>
      <w:pPr>
        <w:spacing w:after="140" w:line="276"/>
        <w:jc w:val="left"/>
      </w:pPr>
      <w:r>
        <w:rPr>
          <w:sz w:val="22"/>
          <w:szCs w:val="22"/>
          <w:rFonts w:ascii="Arial" w:cs="Arial" w:eastAsia="Arial" w:hAnsi="Arial"/>
        </w:rPr>
        <w:t xml:space="preserve">L'inaction a un prix humain, économique et stratégique mesurable.</w:t>
      </w:r>
    </w:p>
    <w:p>
      <w:pPr>
        <w:spacing w:before="160" w:after="80"/>
        <w:jc w:val="left"/>
      </w:pPr>
      <w:r>
        <w:rPr>
          <w:b/>
          <w:bCs/>
          <w:color w:val="1B2B4B"/>
          <w:sz w:val="23"/>
          <w:szCs w:val="23"/>
          <w:rFonts w:ascii="Arial" w:cs="Arial" w:eastAsia="Arial" w:hAnsi="Arial"/>
        </w:rPr>
        <w:t xml:space="preserve">Impact sur les patients</w:t>
      </w:r>
    </w:p>
    <w:p>
      <w:pPr>
        <w:spacing w:after="140" w:line="276"/>
        <w:jc w:val="left"/>
      </w:pPr>
      <w:r>
        <w:rPr>
          <w:sz w:val="22"/>
          <w:szCs w:val="22"/>
          <w:rFonts w:ascii="Arial" w:cs="Arial" w:eastAsia="Arial" w:hAnsi="Arial"/>
        </w:rPr>
        <w:t xml:space="preserve">Chaque mois de retard dans la mise sur le marché d'un logiciel de diagnostic radiologique IA est un mois pendant lequel des radiologues surchargés n'ont pas accès à un outil qui pourrait réduire les erreurs diagnostiques et accélérer la prise en charge. En France, les délais d'attente pour des examens d'imagerie diagnostique dépassent régulièrement plusieurs semaines, notamment dans les zones sous-denses. L'IA en radiologie ne remplace pas le praticien : elle constitue un filet de sécurité qui détecte ce que l'humain fatigué peut manquer.</w:t>
      </w:r>
    </w:p>
    <w:p>
      <w:pPr>
        <w:spacing w:before="160" w:after="80"/>
        <w:jc w:val="left"/>
      </w:pPr>
      <w:r>
        <w:rPr>
          <w:b/>
          <w:bCs/>
          <w:color w:val="1B2B4B"/>
          <w:sz w:val="23"/>
          <w:szCs w:val="23"/>
          <w:rFonts w:ascii="Arial" w:cs="Arial" w:eastAsia="Arial" w:hAnsi="Arial"/>
        </w:rPr>
        <w:t xml:space="preserve">Impact économique</w:t>
      </w:r>
    </w:p>
    <w:p>
      <w:pPr>
        <w:spacing w:after="140" w:line="276"/>
        <w:jc w:val="left"/>
      </w:pPr>
      <w:r>
        <w:rPr>
          <w:sz w:val="22"/>
          <w:szCs w:val="22"/>
          <w:rFonts w:ascii="Arial" w:cs="Arial" w:eastAsia="Arial" w:hAnsi="Arial"/>
        </w:rPr>
        <w:t xml:space="preserve">Le marché mondial des dispositifs médicaux intégrant l'IA est estimé à 18,9 milliards USD en 2025 et projeté à 96,5 milliards USD en 2030, avec un TCAM de 38,5 % </w:t>
      </w:r>
      <w:hyperlink w:history="1" r:id="rIdfh7epgozmcq5kmqo5im8m">
        <w:r>
          <w:rPr>
            <w:u w:val="single" w:color="1155CC"/>
            <w:color w:val="1155CC"/>
            <w:sz w:val="22"/>
            <w:szCs w:val="22"/>
            <w:rFonts w:ascii="Arial" w:cs="Arial" w:eastAsia="Arial" w:hAnsi="Arial"/>
          </w:rPr>
          <w:t xml:space="preserve">Grand View Research / Future Market Insights</w:t>
        </w:r>
      </w:hyperlink>
      <w:r>
        <w:rPr>
          <w:sz w:val="22"/>
          <w:szCs w:val="22"/>
          <w:rFonts w:ascii="Arial" w:cs="Arial" w:eastAsia="Arial" w:hAnsi="Arial"/>
        </w:rPr>
        <w:t xml:space="preserve">. Le domaine de la radiologie représente 35 % de ce marché en 2025, soit précisément le segment où opère l'écosystème français. L'Amérique du Nord a dominé le marché avec une part de 52,86 % en 2024, contre une part européenne significativement inférieure.</w:t>
      </w:r>
    </w:p>
    <w:p>
      <w:pPr>
        <w:spacing w:after="140" w:line="276"/>
        <w:jc w:val="left"/>
      </w:pPr>
      <w:r>
        <w:rPr>
          <w:sz w:val="22"/>
          <w:szCs w:val="22"/>
          <w:rFonts w:ascii="Arial" w:cs="Arial" w:eastAsia="Arial" w:hAnsi="Arial"/>
        </w:rPr>
        <w:t xml:space="preserve">Si la France ne crée pas les conditions d'un accès rapide et prévisible au marché pour ses PME, celles-ci choisiront soit de se limiter au marché américain (via la voie 510(k) de la FDA), soit de se délocaliser, soit de disparaître.</w:t>
      </w:r>
    </w:p>
    <w:p>
      <w:pPr>
        <w:spacing w:before="160" w:after="80"/>
        <w:jc w:val="left"/>
      </w:pPr>
      <w:r>
        <w:rPr>
          <w:b/>
          <w:bCs/>
          <w:color w:val="1B2B4B"/>
          <w:sz w:val="23"/>
          <w:szCs w:val="23"/>
          <w:rFonts w:ascii="Arial" w:cs="Arial" w:eastAsia="Arial" w:hAnsi="Arial"/>
        </w:rPr>
        <w:t xml:space="preserve">Impact sur la capacité des organismes notifiés</w:t>
      </w:r>
    </w:p>
    <w:p>
      <w:pPr>
        <w:spacing w:after="140" w:line="276"/>
        <w:jc w:val="left"/>
      </w:pPr>
      <w:r>
        <w:rPr>
          <w:sz w:val="22"/>
          <w:szCs w:val="22"/>
          <w:rFonts w:ascii="Arial" w:cs="Arial" w:eastAsia="Arial" w:hAnsi="Arial"/>
        </w:rPr>
        <w:t xml:space="preserve">Depuis l'entrée en vigueur du MDR et de l'IVDR, tous les fabricants de dispositifs médicaux doivent passer par des organismes notifiés. Or, la dernière phase de transition MDR testera plus que la conformité réglementaire ; elle testera la résilience opérationnelle de l'ensemble de l'industrie. 2026-2027 seront les années les plus exigeantes, et ceux qui tardent risquent des lacunes de certification, des perturbations de marché ou le retrait de dispositifs du marché européen. L'ajout des exigences AI Act à des ON déjà saturés ne fera qu'aggraver ce goulot d'étranglement.</w:t>
      </w:r>
    </w:p>
    <w:p>
      <w:pPr>
        <w:spacing w:after="140" w:line="276"/>
        <w:jc w:val="left"/>
      </w:pPr>
      <w:r>
        <w:rPr>
          <w:b/>
          <w:bCs/>
          <w:sz w:val="22"/>
          <w:szCs w:val="22"/>
          <w:rFonts w:ascii="Arial" w:cs="Arial" w:eastAsia="Arial" w:hAnsi="Arial"/>
        </w:rPr>
        <w:t xml:space="preserve">Chiffrage indicatif du manque à gagner</w:t>
      </w:r>
      <w:r>
        <w:rPr>
          <w:sz w:val="22"/>
          <w:szCs w:val="22"/>
          <w:rFonts w:ascii="Arial" w:cs="Arial" w:eastAsia="Arial" w:hAnsi="Arial"/>
        </w:rPr>
        <w:t xml:space="preserve"> : Si les PME françaises capturent ne serait-ce que 2 % du marché mondial de l'IA en dispositifs médicaux d'ici 2030, cela représenterait ~1,9 milliard USD de revenus et plusieurs milliers d'emplois qualifiés (data scientists, ingénieurs réglementaires, radiologues). L'inaction compromet directement cette perspective.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6. OPTION RECOMMANDÉE ET MISE EN ŒUVRE</w:t>
      </w:r>
    </w:p>
    <w:p>
      <w:pPr>
        <w:pStyle w:val="Heading3"/>
        <w:spacing w:before="160" w:after="80"/>
        <w:jc w:val="left"/>
      </w:pPr>
      <w:r>
        <w:rPr>
          <w:b/>
          <w:bCs/>
          <w:color w:val="1B2B4B"/>
          <w:sz w:val="23"/>
          <w:szCs w:val="23"/>
          <w:rFonts w:ascii="Arial" w:cs="Arial" w:eastAsia="Arial" w:hAnsi="Arial"/>
        </w:rPr>
        <w:t xml:space="preserve">Recommandation</w:t>
      </w:r>
    </w:p>
    <w:p>
      <w:pPr>
        <w:spacing w:after="140" w:line="276"/>
        <w:jc w:val="left"/>
      </w:pPr>
      <w:r>
        <w:rPr>
          <w:sz w:val="22"/>
          <w:szCs w:val="22"/>
          <w:rFonts w:ascii="Arial" w:cs="Arial" w:eastAsia="Arial" w:hAnsi="Arial"/>
        </w:rPr>
        <w:t xml:space="preserve">MedIA Solutions SAS recommande </w:t>
      </w:r>
      <w:r>
        <w:rPr>
          <w:b/>
          <w:bCs/>
          <w:sz w:val="22"/>
          <w:szCs w:val="22"/>
          <w:rFonts w:ascii="Arial" w:cs="Arial" w:eastAsia="Arial" w:hAnsi="Arial"/>
        </w:rPr>
        <w:t xml:space="preserve">l'adoption de l'Option C</w:t>
      </w:r>
      <w:r>
        <w:rPr>
          <w:sz w:val="22"/>
          <w:szCs w:val="22"/>
          <w:rFonts w:ascii="Arial" w:cs="Arial" w:eastAsia="Arial" w:hAnsi="Arial"/>
        </w:rPr>
        <w:t xml:space="preserve"> : une stratégie à deux niveaux combinant un engagement français actif dans les négociations européennes sur la proposition COM(2025) 1023 final et des mesures nationales complémentaires immédiates.</w:t>
      </w:r>
    </w:p>
    <w:p>
      <w:pPr>
        <w:pStyle w:val="Heading3"/>
        <w:spacing w:before="160" w:after="80"/>
        <w:jc w:val="left"/>
      </w:pPr>
      <w:r>
        <w:rPr>
          <w:b/>
          <w:bCs/>
          <w:color w:val="1B2B4B"/>
          <w:sz w:val="23"/>
          <w:szCs w:val="23"/>
          <w:rFonts w:ascii="Arial" w:cs="Arial" w:eastAsia="Arial" w:hAnsi="Arial"/>
        </w:rPr>
        <w:t xml:space="preserve">Plan de mise en œuvre phasé</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11"/>
      </w:tblGrid>
      <w:tr>
        <w:trPr>
          <w:tblHeader/>
        </w:trPr>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**Phase**</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**Actions clés**</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**Acteur responsable**</w:t>
            </w:r>
          </w:p>
        </w:tc>
        <w:tc>
          <w:tcPr>
            <w:tcW w:type="dxa" w:w="2411"/>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**Calendrier**</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1 — Immédiate (Q2-Q3 2026)</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Position de négociation française au Conseil soutenant le transfert des DM IA de la Section A à la Section B de l'AI Act ; 2. Inscription du bac à sable IA-santé dans la feuille de route nationale (conformément à l'article 57 AI Act)</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Ministère de la Santé ; SGAE ; Représentation permanente à Bruxelles</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Avant septembre 2026</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2 — Court terme (Q3 2026 – Q1 2027)</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Lancement opérationnel du bac à sable IA-santé, piloté par l'ANSM et la CNIL ; 2. Publication d'un guide conjoint ANSM/CNIL d'articulation MDR-AI Act-RGPD pour les fabricants de MDAI ; 3. Renforcement du programme Diag Data IA de Bpifrance pour inclure un volet « conformité réglementaire DM-IA »</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ANSM ; CNIL ; Bpifrance ; DGE</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Q3 2026 – Q1 2027</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3 — Moyen terme (2027)</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Entrée en application de l'AI Act pour les DM IA (2 août 2027) ; 2. Mise en œuvre de la proposition de simplification MDR/IVDR (si adoptée) ; 3. Evaluation de l'efficacité du bac à sable et ajustements</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Commission européenne ; ANSM ; organismes notifiés</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2027</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4 — Consolidation (2028)</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Bilan et rapport au Parlement sur l'impact des mesures ; 2. Propositions d'ajustement si nécessaire</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Ministère de la Santé ; Commission des affaires sociales du Sénat</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2028</w:t>
            </w:r>
          </w:p>
        </w:tc>
      </w:tr>
    </w:tbl>
    <w:p>
      <w:pPr>
        <w:spacing w:after="80" w:line="24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Projet de texte opérationnel — Instruction ministérielle</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INSTRUCTION N° [XXX] du Ministre de la Santé et de la Prévention</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Objet : Création d'un bac à sable réglementaire national dédié à l'intelligence artificielle en santé</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En application de l'article 57 du règlement (UE) 2024/1689, et en coordination avec les articles L.5311-1 et suivants du code de la santé publique :</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Article 1er</w:t>
      </w:r>
      <w:r>
        <w:rPr>
          <w:sz w:val="22"/>
          <w:szCs w:val="22"/>
          <w:rFonts w:ascii="Arial" w:cs="Arial" w:eastAsia="Arial" w:hAnsi="Arial"/>
        </w:rPr>
        <w:t xml:space="preserve"> — Il est créé un bac à sable réglementaire national pour les systèmes d'IA à usage médical, piloté conjointement par l'ANSM et la CNIL, avec le concours de la HAS et de la DGE.</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Article 2</w:t>
      </w:r>
      <w:r>
        <w:rPr>
          <w:sz w:val="22"/>
          <w:szCs w:val="22"/>
          <w:rFonts w:ascii="Arial" w:cs="Arial" w:eastAsia="Arial" w:hAnsi="Arial"/>
        </w:rPr>
        <w:t xml:space="preserve"> — Ce bac à sable est ouvert en priorité aux PME et start-ups développant des dispositifs médicaux intégrant l'IA (MDAI) au sens du MDCG 2025-6. Les frais de participation sont gratuits pour les entreprises de moins de 250 salariés, conformément à l'article 57(11) du règlement (UE) 2024/1689.</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Article 3</w:t>
      </w:r>
      <w:r>
        <w:rPr>
          <w:sz w:val="22"/>
          <w:szCs w:val="22"/>
          <w:rFonts w:ascii="Arial" w:cs="Arial" w:eastAsia="Arial" w:hAnsi="Arial"/>
        </w:rPr>
        <w:t xml:space="preserve"> — Les participants bénéficient d'un accompagnement personnalisé visant à articuler les exigences du MDR, de l'AI Act et du RGPD dans un cadre intégré. Les autorités compétentes fournissent des orientations, une supervision et un soutien pour identifier les risques et assurer la conformité.</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Article 4</w:t>
      </w:r>
      <w:r>
        <w:rPr>
          <w:sz w:val="22"/>
          <w:szCs w:val="22"/>
          <w:rFonts w:ascii="Arial" w:cs="Arial" w:eastAsia="Arial" w:hAnsi="Arial"/>
        </w:rPr>
        <w:t xml:space="preserve"> — Un rapport annuel d'activité est transmis au Bureau européen de l'IA et au Comité européen de l'IA, conformément à l'article 57(18) du règlement (UE) 2024/1689.</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7. RISQUES ET MESURES D'ATTÉNUATION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**Risque**</w:t>
            </w:r>
          </w:p>
        </w:tc>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**Description**</w:t>
            </w:r>
          </w:p>
        </w:tc>
        <w:tc>
          <w:tcPr>
            <w:tcW w:type="dxa" w:w="3214"/>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**Atténuation**</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Blocage de la proposition de simplification au Conseil ou au Parlement</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Les négociations sur la proposition COM(2025) 1023 pourraient être ralenties par des divergences entre États membres, notamment sur le niveau de protection des patients.</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La France doit constituer une coalition avec l'Allemagne, les Pays-Bas et l'Irlande — pays disposant d'un écosystème MedTech significatif — pour défendre une adoption rapide. Les mesures nationales (bac à sable) prennent le relais en attendant.</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Capacité insuffisante des organismes notifiés pour intégrer les compétences AI Act</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Les ON actuels sont déjà saturés par les demandes de certification MDR. L'ajout de l'accréditation AI Act pourrait aggraver le goulot d'étranglement.</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Soutenir le renforcement des capacités des ON français (LNE/G-MED, notamment) via un financement ciblé France 2030 ; promouvoir les audits à distance comme le permet la proposition de simplification.</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Arbitrage réglementaire : les entreprises quittent la France/l'UE pour des marchés moins régulés</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Les PME pourraient privilégier le marché américain (FDA 510(k)) ou britannique (MHRA reliance) au détriment du marché européen.</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 bac à sable et l'accompagnement renforcé doivent rendre le parcours réglementaire français compétitif en termes de prévisibilité et de coût. L'objectif est de devenir un point d'entrée attractif, pas une barrière.</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Risque de « course vers le bas » en matière de sécurité</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Une simplification excessive pourrait compromettre la sécurité des patients.</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 cadre MDR existant fournit déjà un socle de sécurité clinique robuste. La proposition de simplification ne supprime pas les exigences de fond mais élimine les redondances formelles. Le bac à sable permet un contrôle étroit pendant la phase d'expérimentation.</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Fragmentation entre autorités nationales (ANSM, CNIL, DGE)</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La multiplicité des interlocuteurs réglementaires peut créer une confusion pour les PME.</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L'instruction ministérielle doit créer un guichet unique de coordination, comme le propose la CNIL à travers ses bacs à sable thématiques. Le modèle existant de la CNIL constitue un précédent solide.</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8. CONCLUSIONS ET RECOMMANDATIONS</w:t>
      </w:r>
    </w:p>
    <w:p>
      <w:pPr>
        <w:spacing w:after="140" w:line="276"/>
        <w:jc w:val="left"/>
      </w:pPr>
      <w:r>
        <w:rPr>
          <w:b/>
          <w:bCs/>
          <w:sz w:val="22"/>
          <w:szCs w:val="22"/>
          <w:rFonts w:ascii="Arial" w:cs="Arial" w:eastAsia="Arial" w:hAnsi="Arial"/>
        </w:rPr>
        <w:t xml:space="preserve">Recommandation 1</w:t>
      </w:r>
      <w:r>
        <w:rPr>
          <w:sz w:val="22"/>
          <w:szCs w:val="22"/>
          <w:rFonts w:ascii="Arial" w:cs="Arial" w:eastAsia="Arial" w:hAnsi="Arial"/>
        </w:rPr>
        <w:t xml:space="preserve"> — Le Gouvernement français doit adopter une position de négociation active au Conseil de l'UE en faveur de l'adoption rapide de la proposition COM(2025) 1023 final, et en particulier du transfert des dispositifs médicaux intégrant l'IA de la Section A à la Section B de l'AI Act, afin d'éliminer la double conformité. </w:t>
      </w:r>
      <w:r>
        <w:rPr>
          <w:b/>
          <w:bCs/>
          <w:sz w:val="22"/>
          <w:szCs w:val="22"/>
          <w:rFonts w:ascii="Arial" w:cs="Arial" w:eastAsia="Arial" w:hAnsi="Arial"/>
        </w:rPr>
        <w:t xml:space="preserve">Acteur</w:t>
      </w:r>
      <w:r>
        <w:rPr>
          <w:sz w:val="22"/>
          <w:szCs w:val="22"/>
          <w:rFonts w:ascii="Arial" w:cs="Arial" w:eastAsia="Arial" w:hAnsi="Arial"/>
        </w:rPr>
        <w:t xml:space="preserve"> : SGAE, Représentation permanente à Bruxelles, Ministère de la Santé. </w:t>
      </w:r>
      <w:r>
        <w:rPr>
          <w:b/>
          <w:bCs/>
          <w:sz w:val="22"/>
          <w:szCs w:val="22"/>
          <w:rFonts w:ascii="Arial" w:cs="Arial" w:eastAsia="Arial" w:hAnsi="Arial"/>
        </w:rPr>
        <w:t xml:space="preserve">Échéance</w:t>
      </w:r>
      <w:r>
        <w:rPr>
          <w:sz w:val="22"/>
          <w:szCs w:val="22"/>
          <w:rFonts w:ascii="Arial" w:cs="Arial" w:eastAsia="Arial" w:hAnsi="Arial"/>
        </w:rPr>
        <w:t xml:space="preserve"> : Avant la fin de la présidence polonaise du Conseil (juin 2026).</w:t>
      </w:r>
    </w:p>
    <w:p>
      <w:pPr>
        <w:spacing w:after="140" w:line="276"/>
        <w:jc w:val="left"/>
      </w:pPr>
      <w:r>
        <w:rPr>
          <w:b/>
          <w:bCs/>
          <w:sz w:val="22"/>
          <w:szCs w:val="22"/>
          <w:rFonts w:ascii="Arial" w:cs="Arial" w:eastAsia="Arial" w:hAnsi="Arial"/>
        </w:rPr>
        <w:t xml:space="preserve">Recommandation 2</w:t>
      </w:r>
      <w:r>
        <w:rPr>
          <w:sz w:val="22"/>
          <w:szCs w:val="22"/>
          <w:rFonts w:ascii="Arial" w:cs="Arial" w:eastAsia="Arial" w:hAnsi="Arial"/>
        </w:rPr>
        <w:t xml:space="preserve"> — Le Ministère de la Santé doit créer, par instruction ministérielle, un bac à sable réglementaire national dédié à l'IA en santé avant le 2 août 2026, conformément à l'article 57 du règlement (UE) 2024/1689, piloté conjointement par l'ANSM et la CNIL, avec un accès gratuit pour les PME. </w:t>
      </w:r>
      <w:r>
        <w:rPr>
          <w:b/>
          <w:bCs/>
          <w:sz w:val="22"/>
          <w:szCs w:val="22"/>
          <w:rFonts w:ascii="Arial" w:cs="Arial" w:eastAsia="Arial" w:hAnsi="Arial"/>
        </w:rPr>
        <w:t xml:space="preserve">Acteur</w:t>
      </w:r>
      <w:r>
        <w:rPr>
          <w:sz w:val="22"/>
          <w:szCs w:val="22"/>
          <w:rFonts w:ascii="Arial" w:cs="Arial" w:eastAsia="Arial" w:hAnsi="Arial"/>
        </w:rPr>
        <w:t xml:space="preserve"> : Ministère de la Santé, ANSM, CNIL. </w:t>
      </w:r>
      <w:r>
        <w:rPr>
          <w:b/>
          <w:bCs/>
          <w:sz w:val="22"/>
          <w:szCs w:val="22"/>
          <w:rFonts w:ascii="Arial" w:cs="Arial" w:eastAsia="Arial" w:hAnsi="Arial"/>
        </w:rPr>
        <w:t xml:space="preserve">Échéance</w:t>
      </w:r>
      <w:r>
        <w:rPr>
          <w:sz w:val="22"/>
          <w:szCs w:val="22"/>
          <w:rFonts w:ascii="Arial" w:cs="Arial" w:eastAsia="Arial" w:hAnsi="Arial"/>
        </w:rPr>
        <w:t xml:space="preserve"> : Août 2026.</w:t>
      </w:r>
    </w:p>
    <w:p>
      <w:pPr>
        <w:spacing w:after="140" w:line="276"/>
        <w:jc w:val="left"/>
      </w:pPr>
      <w:r>
        <w:rPr>
          <w:b/>
          <w:bCs/>
          <w:sz w:val="22"/>
          <w:szCs w:val="22"/>
          <w:rFonts w:ascii="Arial" w:cs="Arial" w:eastAsia="Arial" w:hAnsi="Arial"/>
        </w:rPr>
        <w:t xml:space="preserve">Recommandation 3</w:t>
      </w:r>
      <w:r>
        <w:rPr>
          <w:sz w:val="22"/>
          <w:szCs w:val="22"/>
          <w:rFonts w:ascii="Arial" w:cs="Arial" w:eastAsia="Arial" w:hAnsi="Arial"/>
        </w:rPr>
        <w:t xml:space="preserve"> — Bpifrance et la DGE doivent étendre le programme Diag Data IA et le dispositif France 2030 pour inclure un volet spécifique de « conformité réglementaire DM-IA » avec un financement à hauteur de 80 % pour les PME, couvrant l'analyse d'écart MDR/AI Act, la préparation de la documentation technique intégrée et l'accompagnement pré-soumission auprès des organismes notifiés. </w:t>
      </w:r>
      <w:r>
        <w:rPr>
          <w:b/>
          <w:bCs/>
          <w:sz w:val="22"/>
          <w:szCs w:val="22"/>
          <w:rFonts w:ascii="Arial" w:cs="Arial" w:eastAsia="Arial" w:hAnsi="Arial"/>
        </w:rPr>
        <w:t xml:space="preserve">Acteur</w:t>
      </w:r>
      <w:r>
        <w:rPr>
          <w:sz w:val="22"/>
          <w:szCs w:val="22"/>
          <w:rFonts w:ascii="Arial" w:cs="Arial" w:eastAsia="Arial" w:hAnsi="Arial"/>
        </w:rPr>
        <w:t xml:space="preserve"> : Bpifrance, DGE. </w:t>
      </w:r>
      <w:r>
        <w:rPr>
          <w:b/>
          <w:bCs/>
          <w:sz w:val="22"/>
          <w:szCs w:val="22"/>
          <w:rFonts w:ascii="Arial" w:cs="Arial" w:eastAsia="Arial" w:hAnsi="Arial"/>
        </w:rPr>
        <w:t xml:space="preserve">Échéance</w:t>
      </w:r>
      <w:r>
        <w:rPr>
          <w:sz w:val="22"/>
          <w:szCs w:val="22"/>
          <w:rFonts w:ascii="Arial" w:cs="Arial" w:eastAsia="Arial" w:hAnsi="Arial"/>
        </w:rPr>
        <w:t xml:space="preserve"> : Fin 2026.</w:t>
      </w:r>
    </w:p>
    <w:p>
      <w:pPr>
        <w:spacing w:after="140" w:line="276"/>
        <w:jc w:val="left"/>
      </w:pPr>
      <w:r>
        <w:rPr>
          <w:b/>
          <w:bCs/>
          <w:sz w:val="22"/>
          <w:szCs w:val="22"/>
          <w:rFonts w:ascii="Arial" w:cs="Arial" w:eastAsia="Arial" w:hAnsi="Arial"/>
        </w:rPr>
        <w:t xml:space="preserve">Recommandation 4</w:t>
      </w:r>
      <w:r>
        <w:rPr>
          <w:sz w:val="22"/>
          <w:szCs w:val="22"/>
          <w:rFonts w:ascii="Arial" w:cs="Arial" w:eastAsia="Arial" w:hAnsi="Arial"/>
        </w:rPr>
        <w:t xml:space="preserve"> — L'ANSM et la CNIL doivent publier un guide conjoint d'articulation MDR-AI Act-RGPD pour les fabricants de dispositifs médicaux intégrant l'IA, en s'appuyant sur le document MDCG 2025-6 et en l'adaptant aux spécificités du cadre national français. </w:t>
      </w:r>
      <w:r>
        <w:rPr>
          <w:b/>
          <w:bCs/>
          <w:sz w:val="22"/>
          <w:szCs w:val="22"/>
          <w:rFonts w:ascii="Arial" w:cs="Arial" w:eastAsia="Arial" w:hAnsi="Arial"/>
        </w:rPr>
        <w:t xml:space="preserve">Acteur</w:t>
      </w:r>
      <w:r>
        <w:rPr>
          <w:sz w:val="22"/>
          <w:szCs w:val="22"/>
          <w:rFonts w:ascii="Arial" w:cs="Arial" w:eastAsia="Arial" w:hAnsi="Arial"/>
        </w:rPr>
        <w:t xml:space="preserve"> : ANSM, CNIL. </w:t>
      </w:r>
      <w:r>
        <w:rPr>
          <w:b/>
          <w:bCs/>
          <w:sz w:val="22"/>
          <w:szCs w:val="22"/>
          <w:rFonts w:ascii="Arial" w:cs="Arial" w:eastAsia="Arial" w:hAnsi="Arial"/>
        </w:rPr>
        <w:t xml:space="preserve">Échéance</w:t>
      </w:r>
      <w:r>
        <w:rPr>
          <w:sz w:val="22"/>
          <w:szCs w:val="22"/>
          <w:rFonts w:ascii="Arial" w:cs="Arial" w:eastAsia="Arial" w:hAnsi="Arial"/>
        </w:rPr>
        <w:t xml:space="preserve"> : Q1 2027.</w:t>
      </w:r>
    </w:p>
    <w:p>
      <w:pPr>
        <w:spacing w:after="140" w:line="276"/>
        <w:jc w:val="left"/>
      </w:pPr>
      <w:r>
        <w:rPr>
          <w:b/>
          <w:bCs/>
          <w:sz w:val="22"/>
          <w:szCs w:val="22"/>
          <w:rFonts w:ascii="Arial" w:cs="Arial" w:eastAsia="Arial" w:hAnsi="Arial"/>
        </w:rPr>
        <w:t xml:space="preserve">Recommandation 5</w:t>
      </w:r>
      <w:r>
        <w:rPr>
          <w:sz w:val="22"/>
          <w:szCs w:val="22"/>
          <w:rFonts w:ascii="Arial" w:cs="Arial" w:eastAsia="Arial" w:hAnsi="Arial"/>
        </w:rPr>
        <w:t xml:space="preserve"> — La Commission des affaires sociales du Sénat doit auditionner l'ANSM, la CNIL, Bpifrance et des représentants de la filière HealthTech (France Biotech, MedTech France, SNITEM) pour évaluer l'état de préparation de la France à l'entrée en application de l'AI Act pour les dispositifs médicaux le 2 août 2027, et formuler des recommandations dans un rapport d'information. </w:t>
      </w:r>
      <w:r>
        <w:rPr>
          <w:b/>
          <w:bCs/>
          <w:sz w:val="22"/>
          <w:szCs w:val="22"/>
          <w:rFonts w:ascii="Arial" w:cs="Arial" w:eastAsia="Arial" w:hAnsi="Arial"/>
        </w:rPr>
        <w:t xml:space="preserve">Acteur</w:t>
      </w:r>
      <w:r>
        <w:rPr>
          <w:sz w:val="22"/>
          <w:szCs w:val="22"/>
          <w:rFonts w:ascii="Arial" w:cs="Arial" w:eastAsia="Arial" w:hAnsi="Arial"/>
        </w:rPr>
        <w:t xml:space="preserve"> : Commission des affaires sociales du Sénat. </w:t>
      </w:r>
      <w:r>
        <w:rPr>
          <w:b/>
          <w:bCs/>
          <w:sz w:val="22"/>
          <w:szCs w:val="22"/>
          <w:rFonts w:ascii="Arial" w:cs="Arial" w:eastAsia="Arial" w:hAnsi="Arial"/>
        </w:rPr>
        <w:t xml:space="preserve">Échéance</w:t>
      </w:r>
      <w:r>
        <w:rPr>
          <w:sz w:val="22"/>
          <w:szCs w:val="22"/>
          <w:rFonts w:ascii="Arial" w:cs="Arial" w:eastAsia="Arial" w:hAnsi="Arial"/>
        </w:rPr>
        <w:t xml:space="preserve"> : Q4 2026.</w:t>
      </w:r>
    </w:p>
    <w:p>
      <w:pPr>
        <w:pBdr>
          <w:bottom w:val="single" w:color="D0D0D0" w:sz="4" w:space="2"/>
        </w:pBdr>
        <w:spacing w:after="10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Les décideurs auxquels s'adresse ce document disposent du pouvoir de mettre fin à une situation où des patients se voient privés d'outils diagnostiques validés, et où des entreprises innovantes françaises sont contraintes à l'immobilisme, non pas parce que leurs technologies sont dangereuses, mais parce que le cadre réglementaire n'a pas été conçu pour elles. Agir maintenant, c'est protéger les patients, préserver un tissu industriel stratégique et positionner la France comme leader européen de l'IA en santé.</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ANNEXES</w:t>
      </w:r>
    </w:p>
    <w:p>
      <w:pPr>
        <w:pStyle w:val="Heading3"/>
        <w:spacing w:before="160" w:after="80"/>
        <w:jc w:val="left"/>
      </w:pPr>
      <w:r>
        <w:rPr>
          <w:b/>
          <w:bCs/>
          <w:color w:val="1B2B4B"/>
          <w:sz w:val="23"/>
          <w:szCs w:val="23"/>
          <w:rFonts w:ascii="Arial" w:cs="Arial" w:eastAsia="Arial" w:hAnsi="Arial"/>
        </w:rPr>
        <w:t xml:space="preserve">Annexe A : Données et statistiques complémentaires</w:t>
      </w:r>
    </w:p>
    <w:p>
      <w:pPr>
        <w:spacing w:before="160" w:after="80"/>
        <w:jc w:val="left"/>
      </w:pPr>
      <w:r>
        <w:rPr>
          <w:b/>
          <w:bCs/>
          <w:color w:val="1B2B4B"/>
          <w:sz w:val="23"/>
          <w:szCs w:val="23"/>
          <w:rFonts w:ascii="Arial" w:cs="Arial" w:eastAsia="Arial" w:hAnsi="Arial"/>
        </w:rPr>
        <w:t xml:space="preserve">Calendrier d'application de l'AI Act (Règlement (UE) 2024/1689)</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tblHeader/>
        </w:trPr>
        <w:tc>
          <w:tcPr>
            <w:tcW w:type="dxa" w:w="481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**Date**</w:t>
            </w:r>
          </w:p>
        </w:tc>
        <w:tc>
          <w:tcPr>
            <w:tcW w:type="dxa" w:w="481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**Obligation**</w:t>
            </w:r>
          </w:p>
        </w:tc>
      </w:tr>
      <w:tr>
        <w:tc>
          <w:tcPr>
            <w:tcW w:type="dxa" w:w="481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 février 2025</w:t>
            </w:r>
          </w:p>
        </w:tc>
        <w:tc>
          <w:tcPr>
            <w:tcW w:type="dxa" w:w="481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Interdiction des pratiques IA à risque inacceptable</w:t>
            </w:r>
          </w:p>
        </w:tc>
      </w:tr>
      <w:tr>
        <w:tc>
          <w:tcPr>
            <w:tcW w:type="dxa" w:w="481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 août 2025</w:t>
            </w:r>
          </w:p>
        </w:tc>
        <w:tc>
          <w:tcPr>
            <w:tcW w:type="dxa" w:w="481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Règles GPAI, désignation autorités nationales, sanctions</w:t>
            </w:r>
          </w:p>
        </w:tc>
      </w:tr>
      <w:tr>
        <w:tc>
          <w:tcPr>
            <w:tcW w:type="dxa" w:w="481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 août 2026</w:t>
            </w:r>
          </w:p>
        </w:tc>
        <w:tc>
          <w:tcPr>
            <w:tcW w:type="dxa" w:w="481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Systèmes IA à haut risque (biométrie, emploi, éducation, etc.) ; mise en place des bacs à sable</w:t>
            </w:r>
          </w:p>
        </w:tc>
      </w:tr>
      <w:tr>
        <w:tc>
          <w:tcPr>
            <w:tcW w:type="dxa" w:w="481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 août 2027</w:t>
            </w:r>
          </w:p>
        </w:tc>
        <w:tc>
          <w:tcPr>
            <w:tcW w:type="dxa" w:w="481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Application aux systèmes IA à haut risque dans les produits réglementés (DM, jouets, machines)</w:t>
            </w:r>
          </w:p>
        </w:tc>
      </w:tr>
    </w:tbl>
    <w:p>
      <w:pPr>
        <w:spacing w:after="80" w:line="24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Source : </w:t>
      </w:r>
      <w:hyperlink w:history="1" r:id="rIdrcaskxtpb659se9_icvr6">
        <w:r>
          <w:rPr>
            <w:u w:val="single" w:color="1155CC"/>
            <w:color w:val="1155CC"/>
            <w:sz w:val="22"/>
            <w:szCs w:val="22"/>
            <w:rFonts w:ascii="Arial" w:cs="Arial" w:eastAsia="Arial" w:hAnsi="Arial"/>
          </w:rPr>
          <w:t xml:space="preserve">Direction générale des Entreprises</w:t>
        </w:r>
      </w:hyperlink>
    </w:p>
    <w:p>
      <w:pPr>
        <w:spacing w:before="160" w:after="80"/>
        <w:jc w:val="left"/>
      </w:pPr>
      <w:r>
        <w:rPr>
          <w:b/>
          <w:bCs/>
          <w:color w:val="1B2B4B"/>
          <w:sz w:val="23"/>
          <w:szCs w:val="23"/>
          <w:rFonts w:ascii="Arial" w:cs="Arial" w:eastAsia="Arial" w:hAnsi="Arial"/>
        </w:rPr>
        <w:t xml:space="preserve">Autorisations FDA de dispositifs médicaux IA/ML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**Année**</w:t>
            </w:r>
          </w:p>
        </w:tc>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**Nombre d'autorisations**</w:t>
            </w:r>
          </w:p>
        </w:tc>
        <w:tc>
          <w:tcPr>
            <w:tcW w:type="dxa" w:w="3214"/>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**Cumulé**</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2023</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221</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~950</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2024</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168</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~1 118</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2025</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295</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~1 451</w:t>
            </w:r>
          </w:p>
        </w:tc>
      </w:tr>
    </w:tbl>
    <w:p>
      <w:pPr>
        <w:spacing w:after="80" w:line="24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Sources : </w:t>
      </w:r>
      <w:hyperlink w:history="1" r:id="rIdvjz0o-sfpkmdsjuhmiqeu">
        <w:r>
          <w:rPr>
            <w:u w:val="single" w:color="1155CC"/>
            <w:color w:val="1155CC"/>
            <w:sz w:val="22"/>
            <w:szCs w:val="22"/>
            <w:rFonts w:ascii="Arial" w:cs="Arial" w:eastAsia="Arial" w:hAnsi="Arial"/>
          </w:rPr>
          <w:t xml:space="preserve">FDA</w:t>
        </w:r>
      </w:hyperlink>
      <w:r>
        <w:rPr>
          <w:sz w:val="22"/>
          <w:szCs w:val="22"/>
          <w:rFonts w:ascii="Arial" w:cs="Arial" w:eastAsia="Arial" w:hAnsi="Arial"/>
        </w:rPr>
        <w:t xml:space="preserve"> ; </w:t>
      </w:r>
      <w:hyperlink w:history="1" r:id="rIdphbilpzty6a7l_t2xnaoz">
        <w:r>
          <w:rPr>
            <w:u w:val="single" w:color="1155CC"/>
            <w:color w:val="1155CC"/>
            <w:sz w:val="22"/>
            <w:szCs w:val="22"/>
            <w:rFonts w:ascii="Arial" w:cs="Arial" w:eastAsia="Arial" w:hAnsi="Arial"/>
          </w:rPr>
          <w:t xml:space="preserve">Innolitics</w:t>
        </w:r>
      </w:hyperlink>
      <w:r>
        <w:rPr>
          <w:sz w:val="22"/>
          <w:szCs w:val="22"/>
          <w:rFonts w:ascii="Arial" w:cs="Arial" w:eastAsia="Arial" w:hAnsi="Arial"/>
        </w:rPr>
        <w:t xml:space="preserve"> ; </w:t>
      </w:r>
      <w:hyperlink w:history="1" r:id="rId_8ynr4ipm4xmf0ivi8bg6">
        <w:r>
          <w:rPr>
            <w:u w:val="single" w:color="1155CC"/>
            <w:color w:val="1155CC"/>
            <w:sz w:val="22"/>
            <w:szCs w:val="22"/>
            <w:rFonts w:ascii="Arial" w:cs="Arial" w:eastAsia="Arial" w:hAnsi="Arial"/>
          </w:rPr>
          <w:t xml:space="preserve">AHA</w:t>
        </w:r>
      </w:hyperlink>
    </w:p>
    <w:p>
      <w:pPr>
        <w:pStyle w:val="Heading3"/>
        <w:spacing w:before="160" w:after="80"/>
        <w:jc w:val="left"/>
      </w:pPr>
      <w:r>
        <w:rPr>
          <w:b/>
          <w:bCs/>
          <w:color w:val="1B2B4B"/>
          <w:sz w:val="23"/>
          <w:szCs w:val="23"/>
          <w:rFonts w:ascii="Arial" w:cs="Arial" w:eastAsia="Arial" w:hAnsi="Arial"/>
        </w:rPr>
        <w:t xml:space="preserve">Annexe B : Projet de texte réglementaire</w:t>
      </w:r>
    </w:p>
    <w:p>
      <w:pPr>
        <w:spacing w:after="140" w:line="276"/>
        <w:jc w:val="left"/>
      </w:pPr>
      <w:r>
        <w:rPr>
          <w:sz w:val="22"/>
          <w:szCs w:val="22"/>
          <w:rFonts w:ascii="Arial" w:cs="Arial" w:eastAsia="Arial" w:hAnsi="Arial"/>
        </w:rPr>
        <w:t xml:space="preserve">Voir le projet d'instruction ministérielle intégré à la Section 6 du présent document.</w:t>
      </w:r>
    </w:p>
    <w:p>
      <w:pPr>
        <w:pStyle w:val="Heading3"/>
        <w:spacing w:before="160" w:after="80"/>
        <w:jc w:val="left"/>
      </w:pPr>
      <w:r>
        <w:rPr>
          <w:b/>
          <w:bCs/>
          <w:color w:val="1B2B4B"/>
          <w:sz w:val="23"/>
          <w:szCs w:val="23"/>
          <w:rFonts w:ascii="Arial" w:cs="Arial" w:eastAsia="Arial" w:hAnsi="Arial"/>
        </w:rPr>
        <w:t xml:space="preserve">Annexe C : Liste complète des sources</w:t>
      </w:r>
    </w:p>
    <w:p>
      <w:pPr>
        <w:pStyle w:val="ListParagraph"/>
        <w:numPr>
          <w:ilvl w:val="0"/>
          <w:numId w:val="3"/>
        </w:numPr>
        <w:spacing w:after="100" w:line="276"/>
        <w:ind w:left="720" w:hanging="360"/>
        <w:jc w:val="left"/>
      </w:pPr>
      <w:hyperlink w:history="1" r:id="rIdu-jefsikrnul-r_oamtgi">
        <w:r>
          <w:rPr>
            <w:u w:val="single" w:color="1155CC"/>
            <w:color w:val="1155CC"/>
            <w:sz w:val="22"/>
            <w:szCs w:val="22"/>
            <w:rFonts w:ascii="Arial" w:cs="Arial" w:eastAsia="Arial" w:hAnsi="Arial"/>
          </w:rPr>
          <w:t xml:space="preserve">Regulation (EU) 2024/1689 (AI Act) — Parlement européen et Conseil — 2024</w:t>
        </w:r>
      </w:hyperlink>
    </w:p>
    <w:p>
      <w:pPr>
        <w:pStyle w:val="ListParagraph"/>
        <w:numPr>
          <w:ilvl w:val="0"/>
          <w:numId w:val="3"/>
        </w:numPr>
        <w:spacing w:after="100" w:line="276"/>
        <w:ind w:left="720" w:hanging="360"/>
        <w:jc w:val="left"/>
      </w:pPr>
      <w:hyperlink w:history="1" r:id="rIddnkydrpuh6ye1ydrgqexd">
        <w:r>
          <w:rPr>
            <w:u w:val="single" w:color="1155CC"/>
            <w:color w:val="1155CC"/>
            <w:sz w:val="22"/>
            <w:szCs w:val="22"/>
            <w:rFonts w:ascii="Arial" w:cs="Arial" w:eastAsia="Arial" w:hAnsi="Arial"/>
          </w:rPr>
          <w:t xml:space="preserve">Regulation (EU) 2017/745 (MDR) — Parlement européen et Conseil — 2017</w:t>
        </w:r>
      </w:hyperlink>
    </w:p>
    <w:p>
      <w:pPr>
        <w:pStyle w:val="ListParagraph"/>
        <w:numPr>
          <w:ilvl w:val="0"/>
          <w:numId w:val="3"/>
        </w:numPr>
        <w:spacing w:after="100" w:line="276"/>
        <w:ind w:left="720" w:hanging="360"/>
        <w:jc w:val="left"/>
      </w:pPr>
      <w:hyperlink w:history="1" r:id="rIdmukterxlynwuf8kxabqzt">
        <w:r>
          <w:rPr>
            <w:u w:val="single" w:color="1155CC"/>
            <w:color w:val="1155CC"/>
            <w:sz w:val="22"/>
            <w:szCs w:val="22"/>
            <w:rFonts w:ascii="Arial" w:cs="Arial" w:eastAsia="Arial" w:hAnsi="Arial"/>
          </w:rPr>
          <w:t xml:space="preserve">MDCG 2025-6 : Interplay between MDR/IVDR and the AI Act — MDCG/AIB — Juin 2025</w:t>
        </w:r>
      </w:hyperlink>
    </w:p>
    <w:p>
      <w:pPr>
        <w:pStyle w:val="ListParagraph"/>
        <w:numPr>
          <w:ilvl w:val="0"/>
          <w:numId w:val="3"/>
        </w:numPr>
        <w:spacing w:after="100" w:line="276"/>
        <w:ind w:left="720" w:hanging="360"/>
        <w:jc w:val="left"/>
      </w:pPr>
      <w:hyperlink w:history="1" r:id="rIdnxplpoydvhx06kcqgdw8f">
        <w:r>
          <w:rPr>
            <w:u w:val="single" w:color="1155CC"/>
            <w:color w:val="1155CC"/>
            <w:sz w:val="22"/>
            <w:szCs w:val="22"/>
            <w:rFonts w:ascii="Arial" w:cs="Arial" w:eastAsia="Arial" w:hAnsi="Arial"/>
          </w:rPr>
          <w:t xml:space="preserve">Proposal COM(2025) 1023 final — Commission européenne — Décembre 2025</w:t>
        </w:r>
      </w:hyperlink>
    </w:p>
    <w:p>
      <w:pPr>
        <w:pStyle w:val="ListParagraph"/>
        <w:numPr>
          <w:ilvl w:val="0"/>
          <w:numId w:val="3"/>
        </w:numPr>
        <w:spacing w:after="100" w:line="276"/>
        <w:ind w:left="720" w:hanging="360"/>
        <w:jc w:val="left"/>
      </w:pPr>
      <w:hyperlink w:history="1" r:id="rIdwy7ivqm4pt6cpb3xw3snc">
        <w:r>
          <w:rPr>
            <w:u w:val="single" w:color="1155CC"/>
            <w:color w:val="1155CC"/>
            <w:sz w:val="22"/>
            <w:szCs w:val="22"/>
            <w:rFonts w:ascii="Arial" w:cs="Arial" w:eastAsia="Arial" w:hAnsi="Arial"/>
          </w:rPr>
          <w:t xml:space="preserve">FDA AI-Enabled Medical Device List — FDA — 2025</w:t>
        </w:r>
      </w:hyperlink>
    </w:p>
    <w:p>
      <w:pPr>
        <w:pStyle w:val="ListParagraph"/>
        <w:numPr>
          <w:ilvl w:val="0"/>
          <w:numId w:val="3"/>
        </w:numPr>
        <w:spacing w:after="100" w:line="276"/>
        <w:ind w:left="720" w:hanging="360"/>
        <w:jc w:val="left"/>
      </w:pPr>
      <w:hyperlink w:history="1" r:id="rIdtkgxsdpyweail9f25yuxo">
        <w:r>
          <w:rPr>
            <w:u w:val="single" w:color="1155CC"/>
            <w:color w:val="1155CC"/>
            <w:sz w:val="22"/>
            <w:szCs w:val="22"/>
            <w:rFonts w:ascii="Arial" w:cs="Arial" w:eastAsia="Arial" w:hAnsi="Arial"/>
          </w:rPr>
          <w:t xml:space="preserve">Le Règlement européen sur l'IA : publics concernés — DGE France — 2025</w:t>
        </w:r>
      </w:hyperlink>
    </w:p>
    <w:p>
      <w:pPr>
        <w:pStyle w:val="ListParagraph"/>
        <w:numPr>
          <w:ilvl w:val="0"/>
          <w:numId w:val="3"/>
        </w:numPr>
        <w:spacing w:after="100" w:line="276"/>
        <w:ind w:left="720" w:hanging="360"/>
        <w:jc w:val="left"/>
      </w:pPr>
      <w:hyperlink w:history="1" r:id="rIddbbtjzmvkeh78htl_3rdj">
        <w:r>
          <w:rPr>
            <w:u w:val="single" w:color="1155CC"/>
            <w:color w:val="1155CC"/>
            <w:sz w:val="22"/>
            <w:szCs w:val="22"/>
            <w:rFonts w:ascii="Arial" w:cs="Arial" w:eastAsia="Arial" w:hAnsi="Arial"/>
          </w:rPr>
          <w:t xml:space="preserve">Une année 2025 difficile pour la HealthTech française — DeviceMed.fr/France Biotech — 2025</w:t>
        </w:r>
      </w:hyperlink>
    </w:p>
    <w:p>
      <w:pPr>
        <w:pStyle w:val="ListParagraph"/>
        <w:numPr>
          <w:ilvl w:val="0"/>
          <w:numId w:val="3"/>
        </w:numPr>
        <w:spacing w:after="100" w:line="276"/>
        <w:ind w:left="720" w:hanging="360"/>
        <w:jc w:val="left"/>
      </w:pPr>
      <w:hyperlink w:history="1" r:id="rIdpg7r5pb3grinijitbsssb">
        <w:r>
          <w:rPr>
            <w:u w:val="single" w:color="1155CC"/>
            <w:color w:val="1155CC"/>
            <w:sz w:val="22"/>
            <w:szCs w:val="22"/>
            <w:rFonts w:ascii="Arial" w:cs="Arial" w:eastAsia="Arial" w:hAnsi="Arial"/>
          </w:rPr>
          <w:t xml:space="preserve">AI Medical Devices: 2025 Status, Regulation &amp; Challenges — IntuitionLabs — 2025</w:t>
        </w:r>
      </w:hyperlink>
    </w:p>
    <w:p>
      <w:pPr>
        <w:pStyle w:val="ListParagraph"/>
        <w:numPr>
          <w:ilvl w:val="0"/>
          <w:numId w:val="3"/>
        </w:numPr>
        <w:spacing w:after="100" w:line="276"/>
        <w:ind w:left="720" w:hanging="360"/>
        <w:jc w:val="left"/>
      </w:pPr>
      <w:hyperlink w:history="1" r:id="rIdnahsjcutspkzfdujytzve">
        <w:r>
          <w:rPr>
            <w:u w:val="single" w:color="1155CC"/>
            <w:color w:val="1155CC"/>
            <w:sz w:val="22"/>
            <w:szCs w:val="22"/>
            <w:rFonts w:ascii="Arial" w:cs="Arial" w:eastAsia="Arial" w:hAnsi="Arial"/>
          </w:rPr>
          <w:t xml:space="preserve">Navigating the EU AI Act: implications for regulated digital medical products — NPJ Digital Medicine — 2024</w:t>
        </w:r>
      </w:hyperlink>
    </w:p>
    <w:p>
      <w:pPr>
        <w:pStyle w:val="ListParagraph"/>
        <w:numPr>
          <w:ilvl w:val="0"/>
          <w:numId w:val="3"/>
        </w:numPr>
        <w:spacing w:after="100" w:line="276"/>
        <w:ind w:left="720" w:hanging="360"/>
        <w:jc w:val="left"/>
      </w:pPr>
      <w:hyperlink w:history="1" r:id="rIdlist1bt9fc8quengjbhur">
        <w:r>
          <w:rPr>
            <w:u w:val="single" w:color="1155CC"/>
            <w:color w:val="1155CC"/>
            <w:sz w:val="22"/>
            <w:szCs w:val="22"/>
            <w:rFonts w:ascii="Arial" w:cs="Arial" w:eastAsia="Arial" w:hAnsi="Arial"/>
          </w:rPr>
          <w:t xml:space="preserve">The EU AI Act and Medical Devices: Navigating High-Risk Compliance — Reed Smith — Juin 2025</w:t>
        </w:r>
      </w:hyperlink>
    </w:p>
    <w:p>
      <w:pPr>
        <w:pStyle w:val="ListParagraph"/>
        <w:numPr>
          <w:ilvl w:val="0"/>
          <w:numId w:val="3"/>
        </w:numPr>
        <w:spacing w:after="100" w:line="276"/>
        <w:ind w:left="720" w:hanging="360"/>
        <w:jc w:val="left"/>
      </w:pPr>
      <w:hyperlink w:history="1" r:id="rIdw1yzqphx3twmnmbrojnmv">
        <w:r>
          <w:rPr>
            <w:u w:val="single" w:color="1155CC"/>
            <w:color w:val="1155CC"/>
            <w:sz w:val="22"/>
            <w:szCs w:val="22"/>
            <w:rFonts w:ascii="Arial" w:cs="Arial" w:eastAsia="Arial" w:hAnsi="Arial"/>
          </w:rPr>
          <w:t xml:space="preserve">MDCG 2025-6 Key Insights — Hogan Lovells — Juin 2025</w:t>
        </w:r>
      </w:hyperlink>
    </w:p>
    <w:p>
      <w:pPr>
        <w:pStyle w:val="ListParagraph"/>
        <w:numPr>
          <w:ilvl w:val="0"/>
          <w:numId w:val="3"/>
        </w:numPr>
        <w:spacing w:after="100" w:line="276"/>
        <w:ind w:left="720" w:hanging="360"/>
        <w:jc w:val="left"/>
      </w:pPr>
      <w:hyperlink w:history="1" r:id="rIdz49fqvjjowbwvhkcnuml_">
        <w:r>
          <w:rPr>
            <w:u w:val="single" w:color="1155CC"/>
            <w:color w:val="1155CC"/>
            <w:sz w:val="22"/>
            <w:szCs w:val="22"/>
            <w:rFonts w:ascii="Arial" w:cs="Arial" w:eastAsia="Arial" w:hAnsi="Arial"/>
          </w:rPr>
          <w:t xml:space="preserve">EU Commission Proposes Simplification — Morgan Lewis — Décembre 2025</w:t>
        </w:r>
      </w:hyperlink>
    </w:p>
    <w:p>
      <w:pPr>
        <w:pStyle w:val="ListParagraph"/>
        <w:numPr>
          <w:ilvl w:val="0"/>
          <w:numId w:val="3"/>
        </w:numPr>
        <w:spacing w:after="100" w:line="276"/>
        <w:ind w:left="720" w:hanging="360"/>
        <w:jc w:val="left"/>
      </w:pPr>
      <w:hyperlink w:history="1" r:id="rIdmujxtxq0l1f2z58famif5">
        <w:r>
          <w:rPr>
            <w:u w:val="single" w:color="1155CC"/>
            <w:color w:val="1155CC"/>
            <w:sz w:val="22"/>
            <w:szCs w:val="22"/>
            <w:rFonts w:ascii="Arial" w:cs="Arial" w:eastAsia="Arial" w:hAnsi="Arial"/>
          </w:rPr>
          <w:t xml:space="preserve">Notified Bodies in Europe: still too few — AbroadLink — 2025</w:t>
        </w:r>
      </w:hyperlink>
    </w:p>
    <w:p>
      <w:pPr>
        <w:pStyle w:val="ListParagraph"/>
        <w:numPr>
          <w:ilvl w:val="0"/>
          <w:numId w:val="3"/>
        </w:numPr>
        <w:spacing w:after="100" w:line="276"/>
        <w:ind w:left="720" w:hanging="360"/>
        <w:jc w:val="left"/>
      </w:pPr>
      <w:hyperlink w:history="1" r:id="rIdlo_g1fptg8z8goqbcua8c">
        <w:r>
          <w:rPr>
            <w:u w:val="single" w:color="1155CC"/>
            <w:color w:val="1155CC"/>
            <w:sz w:val="22"/>
            <w:szCs w:val="22"/>
            <w:rFonts w:ascii="Arial" w:cs="Arial" w:eastAsia="Arial" w:hAnsi="Arial"/>
          </w:rPr>
          <w:t xml:space="preserve">EU MDR/IVDR Simplification 2026 Guide — MedDeviceGuide — 2026</w:t>
        </w:r>
      </w:hyperlink>
    </w:p>
    <w:p>
      <w:pPr>
        <w:pStyle w:val="ListParagraph"/>
        <w:numPr>
          <w:ilvl w:val="0"/>
          <w:numId w:val="3"/>
        </w:numPr>
        <w:spacing w:after="100" w:line="276"/>
        <w:ind w:left="720" w:hanging="360"/>
        <w:jc w:val="left"/>
      </w:pPr>
      <w:hyperlink w:history="1" r:id="rIdfuvqjcoqyaawo9b8cwxuc">
        <w:r>
          <w:rPr>
            <w:u w:val="single" w:color="1155CC"/>
            <w:color w:val="1155CC"/>
            <w:sz w:val="22"/>
            <w:szCs w:val="22"/>
            <w:rFonts w:ascii="Arial" w:cs="Arial" w:eastAsia="Arial" w:hAnsi="Arial"/>
          </w:rPr>
          <w:t xml:space="preserve">AI-enabled Medical Devices Market — Grand View Research — 2025</w:t>
        </w:r>
      </w:hyperlink>
    </w:p>
    <w:p>
      <w:pPr>
        <w:pStyle w:val="ListParagraph"/>
        <w:numPr>
          <w:ilvl w:val="0"/>
          <w:numId w:val="3"/>
        </w:numPr>
        <w:spacing w:after="100" w:line="276"/>
        <w:ind w:left="720" w:hanging="360"/>
        <w:jc w:val="left"/>
      </w:pPr>
      <w:hyperlink w:history="1" r:id="rIdiathfvcsivzox4hstytwm">
        <w:r>
          <w:rPr>
            <w:u w:val="single" w:color="1155CC"/>
            <w:color w:val="1155CC"/>
            <w:sz w:val="22"/>
            <w:szCs w:val="22"/>
            <w:rFonts w:ascii="Arial" w:cs="Arial" w:eastAsia="Arial" w:hAnsi="Arial"/>
          </w:rPr>
          <w:t xml:space="preserve">AI-enabled Medical Devices Market — Future Market Insights — 2025</w:t>
        </w:r>
      </w:hyperlink>
    </w:p>
    <w:p>
      <w:pPr>
        <w:pStyle w:val="ListParagraph"/>
        <w:numPr>
          <w:ilvl w:val="0"/>
          <w:numId w:val="3"/>
        </w:numPr>
        <w:spacing w:after="100" w:line="276"/>
        <w:ind w:left="720" w:hanging="360"/>
        <w:jc w:val="left"/>
      </w:pPr>
      <w:hyperlink w:history="1" r:id="rIdrspseqyunv9irwn_ufevm">
        <w:r>
          <w:rPr>
            <w:u w:val="single" w:color="1155CC"/>
            <w:color w:val="1155CC"/>
            <w:sz w:val="22"/>
            <w:szCs w:val="22"/>
            <w:rFonts w:ascii="Arial" w:cs="Arial" w:eastAsia="Arial" w:hAnsi="Arial"/>
          </w:rPr>
          <w:t xml:space="preserve">2025 AI/ML Medical Device 510(k) Clearances — Innolitics — 2025</w:t>
        </w:r>
      </w:hyperlink>
    </w:p>
    <w:p>
      <w:pPr>
        <w:pStyle w:val="ListParagraph"/>
        <w:numPr>
          <w:ilvl w:val="0"/>
          <w:numId w:val="3"/>
        </w:numPr>
        <w:spacing w:after="100" w:line="276"/>
        <w:ind w:left="720" w:hanging="360"/>
        <w:jc w:val="left"/>
      </w:pPr>
      <w:hyperlink w:history="1" r:id="rIdbtw8tfbvnbavzcoldldel">
        <w:r>
          <w:rPr>
            <w:u w:val="single" w:color="1155CC"/>
            <w:color w:val="1155CC"/>
            <w:sz w:val="22"/>
            <w:szCs w:val="22"/>
            <w:rFonts w:ascii="Arial" w:cs="Arial" w:eastAsia="Arial" w:hAnsi="Arial"/>
          </w:rPr>
          <w:t xml:space="preserve">MHRA Call for Evidence: AI in Healthcare — GOV.UK — Décembre 2025</w:t>
        </w:r>
      </w:hyperlink>
    </w:p>
    <w:p>
      <w:pPr>
        <w:pStyle w:val="ListParagraph"/>
        <w:numPr>
          <w:ilvl w:val="0"/>
          <w:numId w:val="3"/>
        </w:numPr>
        <w:spacing w:after="100" w:line="276"/>
        <w:ind w:left="720" w:hanging="360"/>
        <w:jc w:val="left"/>
      </w:pPr>
      <w:hyperlink w:history="1" r:id="rIdn03vlhg6zezgw-fvo8vft">
        <w:r>
          <w:rPr>
            <w:u w:val="single" w:color="1155CC"/>
            <w:color w:val="1155CC"/>
            <w:sz w:val="22"/>
            <w:szCs w:val="22"/>
            <w:rFonts w:ascii="Arial" w:cs="Arial" w:eastAsia="Arial" w:hAnsi="Arial"/>
          </w:rPr>
          <w:t xml:space="preserve">MHRA Reforms July 2025 — AZmed Analysis — Juillet 2025</w:t>
        </w:r>
      </w:hyperlink>
    </w:p>
    <w:p>
      <w:pPr>
        <w:pStyle w:val="ListParagraph"/>
        <w:numPr>
          <w:ilvl w:val="0"/>
          <w:numId w:val="3"/>
        </w:numPr>
        <w:spacing w:after="100" w:line="276"/>
        <w:ind w:left="720" w:hanging="360"/>
        <w:jc w:val="left"/>
      </w:pPr>
      <w:hyperlink w:history="1" r:id="rIdfyuk__aw8sdw7eoplgi9t">
        <w:r>
          <w:rPr>
            <w:u w:val="single" w:color="1155CC"/>
            <w:color w:val="1155CC"/>
            <w:sz w:val="22"/>
            <w:szCs w:val="22"/>
            <w:rFonts w:ascii="Arial" w:cs="Arial" w:eastAsia="Arial" w:hAnsi="Arial"/>
          </w:rPr>
          <w:t xml:space="preserve">France 2030 : dispositifs médicaux — Ministère de l'Économie — 2022</w:t>
        </w:r>
      </w:hyperlink>
    </w:p>
    <w:p>
      <w:pPr>
        <w:pStyle w:val="ListParagraph"/>
        <w:numPr>
          <w:ilvl w:val="0"/>
          <w:numId w:val="3"/>
        </w:numPr>
        <w:spacing w:after="100" w:line="276"/>
        <w:ind w:left="720" w:hanging="360"/>
        <w:jc w:val="left"/>
      </w:pPr>
      <w:hyperlink w:history="1" r:id="rIdksz237jlx3nobarqt9gjr">
        <w:r>
          <w:rPr>
            <w:u w:val="single" w:color="1155CC"/>
            <w:color w:val="1155CC"/>
            <w:sz w:val="22"/>
            <w:szCs w:val="22"/>
            <w:rFonts w:ascii="Arial" w:cs="Arial" w:eastAsia="Arial" w:hAnsi="Arial"/>
          </w:rPr>
          <w:t xml:space="preserve">AI Regulatory Sandboxes: EU Member State Overview — AI Act EU — 2025</w:t>
        </w:r>
      </w:hyperlink>
    </w:p>
    <w:p>
      <w:pPr>
        <w:pStyle w:val="ListParagraph"/>
        <w:numPr>
          <w:ilvl w:val="0"/>
          <w:numId w:val="3"/>
        </w:numPr>
        <w:spacing w:after="100" w:line="276"/>
        <w:ind w:left="720" w:hanging="360"/>
        <w:jc w:val="left"/>
      </w:pPr>
      <w:hyperlink w:history="1" r:id="rIdi_2w0phqaqobfugj7ikks">
        <w:r>
          <w:rPr>
            <w:u w:val="single" w:color="1155CC"/>
            <w:color w:val="1155CC"/>
            <w:sz w:val="22"/>
            <w:szCs w:val="22"/>
            <w:rFonts w:ascii="Arial" w:cs="Arial" w:eastAsia="Arial" w:hAnsi="Arial"/>
          </w:rPr>
          <w:t xml:space="preserve">IA médicale : Conformité, certification et audits — MedTech France — 2025</w:t>
        </w:r>
      </w:hyperlink>
    </w:p>
    <w:p>
      <w:pPr>
        <w:pStyle w:val="ListParagraph"/>
        <w:numPr>
          <w:ilvl w:val="0"/>
          <w:numId w:val="3"/>
        </w:numPr>
        <w:spacing w:after="100" w:line="276"/>
        <w:ind w:left="720" w:hanging="360"/>
        <w:jc w:val="left"/>
      </w:pPr>
      <w:hyperlink w:history="1" r:id="rId7vcjaivizmizeiunsumam">
        <w:r>
          <w:rPr>
            <w:u w:val="single" w:color="1155CC"/>
            <w:color w:val="1155CC"/>
            <w:sz w:val="22"/>
            <w:szCs w:val="22"/>
            <w:rFonts w:ascii="Arial" w:cs="Arial" w:eastAsia="Arial" w:hAnsi="Arial"/>
          </w:rPr>
          <w:t xml:space="preserve">Crise de trésorerie MedTech — DSIH — 2025</w:t>
        </w:r>
      </w:hyperlink>
    </w:p>
    <w:p>
      <w:pPr>
        <w:pStyle w:val="ListParagraph"/>
        <w:numPr>
          <w:ilvl w:val="0"/>
          <w:numId w:val="3"/>
        </w:numPr>
        <w:spacing w:after="100" w:line="276"/>
        <w:ind w:left="720" w:hanging="360"/>
        <w:jc w:val="left"/>
      </w:pPr>
      <w:hyperlink w:history="1" r:id="rIdxwv3mcj2yh0g2pykdxphq">
        <w:r>
          <w:rPr>
            <w:u w:val="single" w:color="1155CC"/>
            <w:color w:val="1155CC"/>
            <w:sz w:val="22"/>
            <w:szCs w:val="22"/>
            <w:rFonts w:ascii="Arial" w:cs="Arial" w:eastAsia="Arial" w:hAnsi="Arial"/>
          </w:rPr>
          <w:t xml:space="preserve">EU AI Act &amp; High-Risk AI in Medical Devices — AO Shearman — Décembre 2025</w:t>
        </w:r>
      </w:hyperlink>
    </w:p>
    <w:p>
      <w:pPr>
        <w:pStyle w:val="Heading3"/>
        <w:spacing w:before="160" w:after="80"/>
        <w:jc w:val="left"/>
      </w:pPr>
      <w:r>
        <w:rPr>
          <w:b/>
          <w:bCs/>
          <w:color w:val="1B2B4B"/>
          <w:sz w:val="23"/>
          <w:szCs w:val="23"/>
          <w:rFonts w:ascii="Arial" w:cs="Arial" w:eastAsia="Arial" w:hAnsi="Arial"/>
        </w:rPr>
        <w:t xml:space="preserve">Annexe D : Agenda de recherche — Vérifications requises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11"/>
      </w:tblGrid>
      <w:tr>
        <w:trPr>
          <w:tblHeader/>
        </w:trPr>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**Élément**</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**Affirmation dans le document**</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**Source à consulter**</w:t>
            </w:r>
          </w:p>
        </w:tc>
        <w:tc>
          <w:tcPr>
            <w:tcW w:type="dxa" w:w="2411"/>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**Priorité**</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Nombre exact de PME françaises développant des DM-IA en radiologie</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Estimation basée sur le panorama France Biotech 2025 (26 % MedTech + 26 % santé numérique parmi ~500 répondants)</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France Biotech, Panorama annuel de la HealthTech 2025/2026</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Haute</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Budget précis de conformité AI Act pour une PME MedTech française</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Estimation de 60-150 K€ basée sur données DSIH et MedTech France 2025</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Enquête SNITEM/MedTech France auprès des adhérents ; Commission européenne (évaluation d'impact COM(2025) 1023)</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Haute</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Statut exact du bac à sable réglementaire IA français au 19 avril 2026</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Le document indique que chaque État membre doit en établir un d'ici août 2026 ; le statut précis de la mise en œuvre française doit être confirmé</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CNIL ; Ministère de la Santé ; SGAE</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Haute</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Part de marché française sur le marché mondial de l'IA médicale</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Estimation (2 %) utilisée à des fins d'illustration ; données précises non disponibles</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Eurostat ; DGE ; Business France</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Moyenne</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Calendrier d'adoption de la proposition COM(2025) 1023 au Parlement et au Conseil</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Estimation « fin 2026 ou début 2027 » basée sur le calendrier législatif ordinaire</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Observatoire législatif du Parlement européen (OEIL) ; présidences polonaise et danoise du Conseil</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Moyenne</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Accréditation des organismes notifiés français (LNE/G-MED) pour l'AI Act</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Information à vérifier auprès des ON français</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LNE/G-MED ; base NANDO de la Commission européenne</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Haute</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DOCUMENT GÉNÉRÉ AVEC L'ASSISTANCE DE L'INTELLIGENCE ARTIFICIELLE — AVERTISSEMENT</w:t>
      </w:r>
    </w:p>
    <w:p>
      <w:pPr>
        <w:spacing w:after="140" w:line="276"/>
        <w:jc w:val="left"/>
      </w:pPr>
      <w:r>
        <w:rPr>
          <w:sz w:val="22"/>
          <w:szCs w:val="22"/>
          <w:rFonts w:ascii="Arial" w:cs="Arial" w:eastAsia="Arial" w:hAnsi="Arial"/>
        </w:rPr>
        <w:t xml:space="preserve">Ce document de position a été produit avec l'assistance de l'intelligence artificielle. Il est destiné à servir d'aide à la recherche et à la rédaction uniquement. Toutes les affirmations factuelles, citations, références juridiques et analyses politiques doivent être vérifiées de manière indépendante par un professionnel qualifié avant soumission ou publication.</w:t>
      </w:r>
    </w:p>
    <w:p>
      <w:pPr>
        <w:pBdr>
          <w:bottom w:val="single" w:color="D0D0D0" w:sz="4" w:space="2"/>
        </w:pBdr>
        <w:spacing w:after="100"/>
        <w:jc w:val="left"/>
      </w:pPr>
      <w:r>
        <w:rPr>
          <w:sz w:val="22"/>
          <w:szCs w:val="22"/>
          <w:rFonts w:ascii="Arial" w:cs="Arial" w:eastAsia="Arial" w:hAnsi="Arial"/>
        </w:rPr>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6" w:space="4"/>
      </w:pBdr>
      <w:jc w:val="right"/>
    </w:pPr>
    <w:r>
      <w:rPr>
        <w:color w:val="888888"/>
        <w:sz w:val="18"/>
        <w:szCs w:val="18"/>
        <w:rFonts w:ascii="Arial" w:cs="Arial" w:eastAsia="Arial" w:hAnsi="Arial"/>
      </w:rPr>
      <w:t xml:space="preserve">Page </w:t>
    </w:r>
    <w:r>
      <w:rPr>
        <w:color w:val="888888"/>
        <w:sz w:val="18"/>
        <w:szCs w:val="18"/>
        <w:rFonts w:ascii="Arial" w:cs="Arial" w:eastAsia="Arial" w:hAnsi="Arial"/>
      </w:rPr>
      <w:fldChar w:fldCharType="begin"/>
      <w:instrText xml:space="preserve">PAGE</w:instrText>
      <w:fldChar w:fldCharType="separate"/>
      <w:fldChar w:fldCharType="end"/>
    </w:r>
    <w:r>
      <w:rPr>
        <w:color w:val="888888"/>
        <w:sz w:val="18"/>
        <w:szCs w:val="18"/>
        <w:rFonts w:ascii="Arial" w:cs="Arial" w:eastAsia="Arial" w:hAnsi="Arial"/>
      </w:rPr>
      <w:t xml:space="preserve"> of </w:t>
    </w:r>
    <w:r>
      <w:rPr>
        <w:color w:val="888888"/>
        <w:sz w:val="18"/>
        <w:szCs w:val="18"/>
        <w:rFonts w:ascii="Arial" w:cs="Arial" w:eastAsia="Arial" w:hAnsi="Aria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0D0" w:sz="6" w:space="4"/>
      </w:pBdr>
      <w:spacing w:after="0"/>
      <w:jc w:val="left"/>
    </w:pPr>
    <w:r>
      <w:rPr>
        <w:b/>
        <w:bCs/>
        <w:color w:val="888888"/>
        <w:sz w:val="18"/>
        <w:szCs w:val="18"/>
        <w:rFonts w:ascii="Arial" w:cs="Arial" w:eastAsia="Arial" w:hAnsi="Arial"/>
      </w:rPr>
      <w:t xml:space="preserve">MedIA Solutions SAS</w:t>
    </w:r>
    <w:r>
      <w:rPr>
        <w:color w:val="bbbbbb"/>
        <w:sz w:val="18"/>
        <w:szCs w:val="18"/>
        <w:rFonts w:ascii="Arial" w:cs="Arial" w:eastAsia="Arial" w:hAnsi="Arial"/>
      </w:rPr>
      <w:t xml:space="preserve">  |  </w:t>
    </w:r>
    <w:r>
      <w:rPr>
        <w:color w:val="888888"/>
        <w:sz w:val="18"/>
        <w:szCs w:val="18"/>
        <w:rFonts w:ascii="Arial" w:cs="Arial" w:eastAsia="Arial" w:hAnsi="Arial"/>
      </w:rPr>
      <w:t xml:space="preserve">Pour une voie réglementaire claire et proportionnée pour les dispositifs médicaux intégrant l'intelligence artificielle en France et en Europe</w:t>
    </w:r>
    <w:r>
      <w:rPr>
        <w:color w:val="bbbbbb"/>
        <w:sz w:val="18"/>
        <w:szCs w:val="18"/>
        <w:rFonts w:ascii="Arial" w:cs="Arial" w:eastAsia="Arial" w:hAnsi="Arial"/>
      </w:rPr>
      <w:t xml:space="preserve">  |  </w:t>
    </w:r>
    <w:r>
      <w:rPr>
        <w:color w:val="888888"/>
        <w:sz w:val="18"/>
        <w:szCs w:val="18"/>
        <w:rFonts w:ascii="Arial" w:cs="Arial" w:eastAsia="Arial" w:hAnsi="Arial"/>
      </w:rPr>
      <w:t xml:space="preserve">France / Union européenne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pPr>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Paragraph">
    <w:name w:val="List Paragraph"/>
    <w:basedOn w:val="Normal"/>
    <w:next w:val="Normal"/>
    <w:qFormat/>
    <w:pPr>
      <w:ind w:left="0" w:right="0"/>
      <w:jc w:val="left"/>
    </w:pPr>
    <w:rPr>
      <w:sz w:val="22"/>
      <w:szCs w:val="22"/>
      <w:rFonts w:ascii="Arial" w:cs="Arial" w:eastAsia="Arial" w:hAnsi="Arial"/>
    </w:rPr>
  </w:style>
  <w:style w:type="paragraph" w:styleId="Heading1">
    <w:name w:val="Heading 1"/>
    <w:basedOn w:val="Normal"/>
    <w:next w:val="Normal"/>
    <w:qFormat/>
    <w:pPr>
      <w:spacing w:before="300" w:after="160"/>
      <w:jc w:val="left"/>
      <w:outlineLvl w:val="0"/>
    </w:pPr>
    <w:rPr>
      <w:b/>
      <w:bCs/>
      <w:color w:val="1B2B4B"/>
      <w:sz w:val="36"/>
      <w:szCs w:val="36"/>
      <w:rFonts w:ascii="Arial" w:cs="Arial" w:eastAsia="Arial" w:hAnsi="Arial"/>
    </w:rPr>
  </w:style>
  <w:style w:type="paragraph" w:styleId="Heading2">
    <w:name w:val="Heading 2"/>
    <w:basedOn w:val="Normal"/>
    <w:next w:val="Normal"/>
    <w:qFormat/>
    <w:pPr>
      <w:spacing w:before="200" w:after="100"/>
      <w:jc w:val="left"/>
      <w:outlineLvl w:val="1"/>
    </w:pPr>
    <w:rPr>
      <w:b/>
      <w:bCs/>
      <w:color w:val="1B2B4B"/>
      <w:sz w:val="26"/>
      <w:szCs w:val="26"/>
      <w:rFonts w:ascii="Arial" w:cs="Arial" w:eastAsia="Arial" w:hAnsi="Arial"/>
    </w:rPr>
  </w:style>
  <w:style w:type="paragraph" w:styleId="Heading3">
    <w:name w:val="Heading 3"/>
    <w:basedOn w:val="Normal"/>
    <w:next w:val="Normal"/>
    <w:qFormat/>
    <w:pPr>
      <w:spacing w:before="160" w:after="80"/>
      <w:jc w:val="left"/>
      <w:outlineLvl w:val="2"/>
    </w:pPr>
    <w:rPr>
      <w:b/>
      <w:bCs/>
      <w:color w:val="1B2B4B"/>
      <w:sz w:val="23"/>
      <w:szCs w:val="23"/>
      <w:rFonts w:ascii="Arial" w:cs="Arial" w:eastAsia="Arial" w:hAnsi="Arial"/>
    </w:rPr>
  </w:style>
  <w:style w:type="paragraph" w:default="1" w:styleId="Normal">
    <w:name w:val="Normal"/>
    <w:pPr>
      <w:jc w:val="left"/>
    </w:pPr>
    <w:rPr>
      <w:lang w:val="en-US"/>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h84wmfi3mpzeto09lwnx-" Type="http://schemas.openxmlformats.org/officeDocument/2006/relationships/hyperlink" Target="https://www.entreprises.gouv.fr/decryptages-de-nos-experts/le-reglement-europeen-sur-lintelligence-artificielle-publics-concernes" TargetMode="External"/><Relationship Id="rId_zp5ur9ziafxfchzn24tg" Type="http://schemas.openxmlformats.org/officeDocument/2006/relationships/hyperlink" Target="https://pmc.ncbi.nlm.nih.gov/articles/PMC11379845/" TargetMode="External"/><Relationship Id="rId-ky23q4y35a2rvmcrwsja" Type="http://schemas.openxmlformats.org/officeDocument/2006/relationships/hyperlink" Target="https://www.economie.gouv.fr/france-2030-developper-produire-dispositifs-medicaux" TargetMode="External"/><Relationship Id="rIdbrdsowethbefxseavtb_k" Type="http://schemas.openxmlformats.org/officeDocument/2006/relationships/hyperlink" Target="https://www.devicemed.fr/dossiers/actualites/associations_professionnelles/une-annee-2025-difficile-pour-la-healthtech-francaise/53897" TargetMode="External"/><Relationship Id="rIdt59-g2dec_v8_9vtqmknt" Type="http://schemas.openxmlformats.org/officeDocument/2006/relationships/hyperlink" Target="https://dsih.fr/articles/6065/crise-de-tresorerie-medtech-quand-linnovation-hospitaliere-exige-une-vigilance-strategique-renforcee" TargetMode="External"/><Relationship Id="rIdn-kzwmzi6eqiee1lzkfu-" Type="http://schemas.openxmlformats.org/officeDocument/2006/relationships/hyperlink" Target="https://www.morganlewis.com/blogs/asprescribed/2025/12/european-commission-issues-proposal-to-simplify-medical-devices-regulations" TargetMode="External"/><Relationship Id="rId50_tbp3o3mt7crljmh1dx" Type="http://schemas.openxmlformats.org/officeDocument/2006/relationships/hyperlink" Target="https://www.medtechfrance.fr/reglementation-et-economie/cadre-legislatif-et-normes/ia-medicale-conformite-certification-et-audits-comment-eviter-les-sanctions/" TargetMode="External"/><Relationship Id="rIdji0nk8bofkqqr8pk6szhn" Type="http://schemas.openxmlformats.org/officeDocument/2006/relationships/hyperlink" Target="https://abroadlink.com/blog/Notified-Bodies-MDR-IVDR" TargetMode="External"/><Relationship Id="rIdohpbxcmeg85x3hk9zqv1e" Type="http://schemas.openxmlformats.org/officeDocument/2006/relationships/hyperlink" Target="https://artificialintelligenceact.eu/ai-regulatory-sandbox-approaches-eu-member-state-overview/" TargetMode="External"/><Relationship Id="rIdwln4jojhtpaoulx408ti5" Type="http://schemas.openxmlformats.org/officeDocument/2006/relationships/hyperlink" Target="https://www.fda.gov/medical-devices/software-medical-device-samd/artificial-intelligence-enabled-medical-devices" TargetMode="External"/><Relationship Id="rIdo6i5uqp6l5rimwvoxfzdj" Type="http://schemas.openxmlformats.org/officeDocument/2006/relationships/hyperlink" Target="https://innolitics.com/articles/year-in-review-ai-ml-medical-device-k-clearances/" TargetMode="External"/><Relationship Id="rIdtpass_edkrvymb9guazoh" Type="http://schemas.openxmlformats.org/officeDocument/2006/relationships/hyperlink" Target="https://www.gov.uk/government/calls-for-evidence/regulation-of-ai-in-healthcare" TargetMode="External"/><Relationship Id="rId7y-bt2qxax-mx_ybf77df" Type="http://schemas.openxmlformats.org/officeDocument/2006/relationships/hyperlink" Target="https://health.ec.europa.eu/document/download/25e7ea7c-cab3-40cf-86d9-d11f5e7744d8_en" TargetMode="External"/><Relationship Id="rIdncht9jdo2yoyd04d_3u3q" Type="http://schemas.openxmlformats.org/officeDocument/2006/relationships/hyperlink" Target="https://www.gov.uk/government/news/mhra-seeks-input-on-ai-regulation-at-pivotal-moment-for-healthcare" TargetMode="External"/><Relationship Id="rIddzi7z9umbkkxx2bdfoqr8" Type="http://schemas.openxmlformats.org/officeDocument/2006/relationships/hyperlink" Target="https://meddeviceguide.com/blog/eu-mdr-ivdr-simplification-proposal-2026-guide" TargetMode="External"/><Relationship Id="rIdfh7epgozmcq5kmqo5im8m" Type="http://schemas.openxmlformats.org/officeDocument/2006/relationships/hyperlink" Target="https://www.futuremarketinsights.com/reports/ai-enabled-medical-devices-market" TargetMode="External"/><Relationship Id="rIdrcaskxtpb659se9_icvr6" Type="http://schemas.openxmlformats.org/officeDocument/2006/relationships/hyperlink" Target="https://www.entreprises.gouv.fr/decryptages-de-nos-experts/le-reglement-europeen-sur-lintelligence-artificielle-publics-concernes" TargetMode="External"/><Relationship Id="rIdvjz0o-sfpkmdsjuhmiqeu" Type="http://schemas.openxmlformats.org/officeDocument/2006/relationships/hyperlink" Target="https://www.fda.gov/medical-devices/software-medical-device-samd/artificial-intelligence-enabled-medical-devices" TargetMode="External"/><Relationship Id="rIdphbilpzty6a7l_t2xnaoz" Type="http://schemas.openxmlformats.org/officeDocument/2006/relationships/hyperlink" Target="https://innolitics.com/articles/year-in-review-ai-ml-medical-device-k-clearances/" TargetMode="External"/><Relationship Id="rId_8ynr4ipm4xmf0ivi8bg6" Type="http://schemas.openxmlformats.org/officeDocument/2006/relationships/hyperlink" Target="https://www.aha.org/lettercomment/2025-12-01-aha-letter-fda-ai-enabled-medical-devices" TargetMode="External"/><Relationship Id="rIdu-jefsikrnul-r_oamtgi" Type="http://schemas.openxmlformats.org/officeDocument/2006/relationships/hyperlink" Target="https://eur-lex.europa.eu/eli/reg/2024/1689/oj" TargetMode="External"/><Relationship Id="rIddnkydrpuh6ye1ydrgqexd" Type="http://schemas.openxmlformats.org/officeDocument/2006/relationships/hyperlink" Target="https://eur-lex.europa.eu/legal-content/FR/TXT/?uri=CELEX%3A32017R0745" TargetMode="External"/><Relationship Id="rIdmukterxlynwuf8kxabqzt" Type="http://schemas.openxmlformats.org/officeDocument/2006/relationships/hyperlink" Target="https://health.ec.europa.eu/document/download/b78a17d7-e3cd-4943-851d-e02a2f22bbb4_en" TargetMode="External"/><Relationship Id="rIdnxplpoydvhx06kcqgdw8f" Type="http://schemas.openxmlformats.org/officeDocument/2006/relationships/hyperlink" Target="https://health.ec.europa.eu/document/download/25e7ea7c-cab3-40cf-86d9-d11f5e7744d8_en" TargetMode="External"/><Relationship Id="rIdwy7ivqm4pt6cpb3xw3snc" Type="http://schemas.openxmlformats.org/officeDocument/2006/relationships/hyperlink" Target="https://www.fda.gov/medical-devices/software-medical-device-samd/artificial-intelligence-enabled-medical-devices" TargetMode="External"/><Relationship Id="rIdtkgxsdpyweail9f25yuxo" Type="http://schemas.openxmlformats.org/officeDocument/2006/relationships/hyperlink" Target="https://www.entreprises.gouv.fr/decryptages-de-nos-experts/le-reglement-europeen-sur-lintelligence-artificielle-publics-concernes" TargetMode="External"/><Relationship Id="rIddbbtjzmvkeh78htl_3rdj" Type="http://schemas.openxmlformats.org/officeDocument/2006/relationships/hyperlink" Target="https://www.devicemed.fr/dossiers/actualites/associations_professionnelles/une-annee-2025-difficile-pour-la-healthtech-francaise/53897" TargetMode="External"/><Relationship Id="rIdpg7r5pb3grinijitbsssb" Type="http://schemas.openxmlformats.org/officeDocument/2006/relationships/hyperlink" Target="https://intuitionlabs.ai/articles/ai-medical-devices-regulation-2025" TargetMode="External"/><Relationship Id="rIdnahsjcutspkzfdujytzve" Type="http://schemas.openxmlformats.org/officeDocument/2006/relationships/hyperlink" Target="https://pmc.ncbi.nlm.nih.gov/articles/PMC11379845/" TargetMode="External"/><Relationship Id="rIdlist1bt9fc8quengjbhur" Type="http://schemas.openxmlformats.org/officeDocument/2006/relationships/hyperlink" Target="https://www.reedsmith.com/our-insights/blogs/viewpoints/102kq35/the-eu-ai-act-and-medical-devices-navigating-high-risk-compliance/" TargetMode="External"/><Relationship Id="rIdw1yzqphx3twmnmbrojnmv" Type="http://schemas.openxmlformats.org/officeDocument/2006/relationships/hyperlink" Target="https://www.hoganlovells.com/en/publications/mdcg-published-new-guidance-on-the-interplay-between-the-mdr-ivdr-and-the-ai-act" TargetMode="External"/><Relationship Id="rIdz49fqvjjowbwvhkcnuml_" Type="http://schemas.openxmlformats.org/officeDocument/2006/relationships/hyperlink" Target="https://www.morganlewis.com/blogs/asprescribed/2025/12/european-commission-issues-proposal-to-simplify-medical-devices-regulations" TargetMode="External"/><Relationship Id="rIdmujxtxq0l1f2z58famif5" Type="http://schemas.openxmlformats.org/officeDocument/2006/relationships/hyperlink" Target="https://abroadlink.com/blog/Notified-Bodies-MDR-IVDR" TargetMode="External"/><Relationship Id="rIdlo_g1fptg8z8goqbcua8c" Type="http://schemas.openxmlformats.org/officeDocument/2006/relationships/hyperlink" Target="https://meddeviceguide.com/blog/eu-mdr-ivdr-simplification-proposal-2026-guide" TargetMode="External"/><Relationship Id="rIdfuvqjcoqyaawo9b8cwxuc" Type="http://schemas.openxmlformats.org/officeDocument/2006/relationships/hyperlink" Target="https://www.grandviewresearch.com/industry-analysis/ai-enabled-medical-devices-market-report" TargetMode="External"/><Relationship Id="rIdiathfvcsivzox4hstytwm" Type="http://schemas.openxmlformats.org/officeDocument/2006/relationships/hyperlink" Target="https://www.futuremarketinsights.com/reports/ai-enabled-medical-devices-market" TargetMode="External"/><Relationship Id="rIdrspseqyunv9irwn_ufevm" Type="http://schemas.openxmlformats.org/officeDocument/2006/relationships/hyperlink" Target="https://innolitics.com/articles/year-in-review-ai-ml-medical-device-k-clearances/" TargetMode="External"/><Relationship Id="rIdbtw8tfbvnbavzcoldldel" Type="http://schemas.openxmlformats.org/officeDocument/2006/relationships/hyperlink" Target="https://www.gov.uk/government/calls-for-evidence/regulation-of-ai-in-healthcare" TargetMode="External"/><Relationship Id="rIdn03vlhg6zezgw-fvo8vft" Type="http://schemas.openxmlformats.org/officeDocument/2006/relationships/hyperlink" Target="https://www.azmed.co/news-post/mhra-2025-ai-radiology-regulations" TargetMode="External"/><Relationship Id="rIdfyuk__aw8sdw7eoplgi9t" Type="http://schemas.openxmlformats.org/officeDocument/2006/relationships/hyperlink" Target="https://www.economie.gouv.fr/france-2030-developper-produire-dispositifs-medicaux" TargetMode="External"/><Relationship Id="rIdksz237jlx3nobarqt9gjr" Type="http://schemas.openxmlformats.org/officeDocument/2006/relationships/hyperlink" Target="https://artificialintelligenceact.eu/ai-regulatory-sandbox-approaches-eu-member-state-overview/" TargetMode="External"/><Relationship Id="rIdi_2w0phqaqobfugj7ikks" Type="http://schemas.openxmlformats.org/officeDocument/2006/relationships/hyperlink" Target="https://www.medtechfrance.fr/reglementation-et-economie/cadre-legislatif-et-normes/ia-medicale-conformite-certification-et-audits-comment-eviter-les-sanctions/" TargetMode="External"/><Relationship Id="rId7vcjaivizmizeiunsumam" Type="http://schemas.openxmlformats.org/officeDocument/2006/relationships/hyperlink" Target="https://dsih.fr/articles/6065/crise-de-tresorerie-medtech-quand-linnovation-hospitaliere-exige-une-vigilance-strategique-renforcee" TargetMode="External"/><Relationship Id="rIdxwv3mcj2yh0g2pykdxphq" Type="http://schemas.openxmlformats.org/officeDocument/2006/relationships/hyperlink" Target="https://www.aoshearman.com/en/insights/ao-shearman-on-life-sciences/eu-commission-proposes-much-anticipated-mdr-and-ivdr-revision" TargetMode="Externa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2026-04-19T11:24:50.392Z</dcterms:created>
  <dcterms:modified xsi:type="dcterms:W3CDTF">2026-04-19T11:24:50.392Z</dcterms:modified>
</cp:coreProperties>
</file>

<file path=docProps/custom.xml><?xml version="1.0" encoding="utf-8"?>
<Properties xmlns="http://schemas.openxmlformats.org/officeDocument/2006/custom-properties" xmlns:vt="http://schemas.openxmlformats.org/officeDocument/2006/docPropsVTypes"/>
</file>