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line="240"/>
        <w:jc w:val="left"/>
      </w:pPr>
      <w:r>
        <w:rPr>
          <w:sz w:val="22"/>
          <w:szCs w:val="22"/>
          <w:rFonts w:ascii="Arial" w:cs="Arial" w:eastAsia="Arial" w:hAnsi="Arial"/>
        </w:rPr>
      </w:r>
    </w:p>
    <w:p>
      <w:pPr>
        <w:pBdr>
          <w:top w:val="none" w:color="1B2B4B" w:sz="0"/>
          <w:bottom w:val="none" w:color="1B2B4B" w:sz="0"/>
          <w:left w:val="none" w:color="1B2B4B" w:sz="0"/>
          <w:right w:val="none" w:color="1B2B4B" w:sz="0"/>
        </w:pBdr>
        <w:shd w:fill="1B2B4B" w:val="clear"/>
        <w:spacing w:after="0"/>
        <w:jc w:val="left"/>
      </w:pPr>
      <w:r>
        <w:rPr>
          <w:b/>
          <w:bCs/>
          <w:color w:val="FFFFFF"/>
          <w:sz w:val="28"/>
          <w:szCs w:val="28"/>
          <w:rFonts w:ascii="Arial" w:cs="Arial" w:eastAsia="Arial" w:hAnsi="Arial"/>
        </w:rPr>
        <w:t xml:space="preserve">Gegen die Kürzung der Marktexklusivität für Orphan-Arzneimittel im EU-Pharmapaket 2026: Schutz der Innovationsanreize für seltene Erkrankungen und der Wettbewerbsfähigkeit des deutschen Biotechnologiestandorts</w:t>
      </w:r>
    </w:p>
    <w:p>
      <w:pPr>
        <w:pBdr>
          <w:bottom w:val="single" w:color="F7941D" w:sz="24" w:space="1"/>
        </w:pBdr>
        <w:shd w:fill="1B2B4B" w:val="clear"/>
        <w:spacing w:after="600"/>
        <w:jc w:val="left"/>
      </w:pPr>
      <w:r>
        <w:rPr>
          <w:sz w:val="4"/>
          <w:szCs w:val="4"/>
          <w:rFonts w:ascii="Arial" w:cs="Arial" w:eastAsia="Arial" w:hAnsi="Arial"/>
        </w:rPr>
      </w:r>
    </w:p>
    <w:p>
      <w:pPr>
        <w:spacing w:before="200" w:after="400"/>
        <w:jc w:val="left"/>
      </w:pPr>
      <w:r>
        <w:rPr>
          <w:b/>
          <w:bCs/>
          <w:color w:val="1B2B4B"/>
          <w:sz w:val="56"/>
          <w:szCs w:val="56"/>
          <w:rFonts w:ascii="Arial" w:cs="Arial" w:eastAsia="Arial" w:hAnsi="Arial"/>
        </w:rPr>
        <w:t xml:space="preserve">Gegen die Kürzung der Marktexklusivität für Orphan-Arzneimittel im EU-Pharmapaket 2026: Schutz der Innovationsanreize für seltene Erkrankungen und der Wettbewerbsfähigkeit des deutschen Biotechnologiestandorts</w:t>
      </w:r>
    </w:p>
    <w:p>
      <w:pPr>
        <w:pBdr>
          <w:bottom w:val="single" w:color="F7941D" w:sz="8" w:space="2"/>
        </w:pBdr>
        <w:spacing w:after="200"/>
        <w:jc w:val="left"/>
      </w:pPr>
      <w:r>
        <w:rPr>
          <w:sz w:val="22"/>
          <w:szCs w:val="22"/>
          <w:rFonts w:ascii="Arial" w:cs="Arial" w:eastAsia="Arial" w:hAnsi="Arial"/>
        </w:rPr>
      </w:r>
    </w:p>
    <w:p>
      <w:pPr>
        <w:spacing w:after="100" w:line="240"/>
        <w:jc w:val="left"/>
      </w:pPr>
      <w:r>
        <w:rPr>
          <w:sz w:val="22"/>
          <w:szCs w:val="22"/>
          <w:rFonts w:ascii="Arial" w:cs="Arial" w:eastAsia="Arial" w:hAnsi="Arial"/>
        </w:rPr>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tblGrid>
      <w:tr>
        <w:tc>
          <w:tcPr>
            <w:tcW w:type="dxa" w:w="2200"/>
            <w:tcBorders>
              <w:top w:val="none" w:color="FFFFFF" w:sz="0"/>
              <w:left w:val="none" w:color="FFFFFF" w:sz="0"/>
              <w:bottom w:val="none" w:color="FFFFFF" w:sz="0"/>
              <w:right w:val="none" w:color="FFFFFF" w:sz="0"/>
            </w:tcBorders>
            <w:tcMar>
              <w:top w:type="dxa" w:w="60"/>
              <w:left w:type="dxa" w:w="0"/>
              <w:bottom w:type="dxa" w:w="60"/>
              <w:right w:type="dxa" w:w="80"/>
            </w:tcMar>
          </w:tcPr>
          <w:p>
            <w:pPr>
              <w:spacing w:after="60" w:line="240"/>
              <w:jc w:val="left"/>
            </w:pPr>
            <w:r>
              <w:rPr>
                <w:b/>
                <w:bCs/>
                <w:sz w:val="20"/>
                <w:szCs w:val="20"/>
                <w:rFonts w:ascii="Arial" w:cs="Arial" w:eastAsia="Arial" w:hAnsi="Arial"/>
              </w:rPr>
              <w:t xml:space="preserve">Organisation:</w:t>
            </w:r>
          </w:p>
        </w:tc>
        <w:tc>
          <w:tcPr>
            <w:tcW w:type="dxa" w:w="380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line="240"/>
              <w:jc w:val="left"/>
            </w:pPr>
            <w:r>
              <w:rPr>
                <w:sz w:val="20"/>
                <w:szCs w:val="20"/>
                <w:rFonts w:ascii="Arial" w:cs="Arial" w:eastAsia="Arial" w:hAnsi="Arial"/>
              </w:rPr>
              <w:t xml:space="preserve">Helix Biotech GmbH</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80"/>
            </w:tcMar>
          </w:tcPr>
          <w:p>
            <w:pPr>
              <w:spacing w:after="60" w:line="240"/>
              <w:jc w:val="left"/>
            </w:pPr>
            <w:r>
              <w:rPr>
                <w:b/>
                <w:bCs/>
                <w:sz w:val="20"/>
                <w:szCs w:val="20"/>
                <w:rFonts w:ascii="Arial" w:cs="Arial" w:eastAsia="Arial" w:hAnsi="Arial"/>
              </w:rPr>
              <w:t xml:space="preserve">Jurisdiction:</w:t>
            </w:r>
          </w:p>
        </w:tc>
        <w:tc>
          <w:tcPr>
            <w:tcW w:type="dxa" w:w="380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line="240"/>
              <w:jc w:val="left"/>
            </w:pPr>
            <w:r>
              <w:rPr>
                <w:sz w:val="20"/>
                <w:szCs w:val="20"/>
                <w:rFonts w:ascii="Arial" w:cs="Arial" w:eastAsia="Arial" w:hAnsi="Arial"/>
              </w:rPr>
              <w:t xml:space="preserve">Deutschland / Europäische Union</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80"/>
            </w:tcMar>
          </w:tcPr>
          <w:p>
            <w:pPr>
              <w:spacing w:after="60" w:line="240"/>
              <w:jc w:val="left"/>
            </w:pPr>
            <w:r>
              <w:rPr>
                <w:b/>
                <w:bCs/>
                <w:sz w:val="20"/>
                <w:szCs w:val="20"/>
                <w:rFonts w:ascii="Arial" w:cs="Arial" w:eastAsia="Arial" w:hAnsi="Arial"/>
              </w:rPr>
              <w:t xml:space="preserve">Date,April 2026:</w:t>
            </w:r>
          </w:p>
        </w:tc>
        <w:tc>
          <w:tcPr>
            <w:tcW w:type="dxa" w:w="380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line="240"/>
              <w:jc w:val="left"/>
            </w:pPr>
            <w:r>
              <w:rPr>
                <w:sz w:val="20"/>
                <w:szCs w:val="20"/>
                <w:rFonts w:ascii="Arial" w:cs="Arial" w:eastAsia="Arial" w:hAnsi="Arial"/>
              </w:rPr>
            </w:r>
          </w:p>
        </w:tc>
      </w:tr>
    </w:tbl>
    <w:p>
      <w:pPr>
        <w:spacing w:after="200" w:line="240"/>
        <w:jc w:val="left"/>
      </w:pPr>
      <w:r>
        <w:rPr>
          <w:sz w:val="22"/>
          <w:szCs w:val="22"/>
          <w:rFonts w:ascii="Arial" w:cs="Arial" w:eastAsia="Arial" w:hAnsi="Arial"/>
        </w:rPr>
      </w:r>
    </w:p>
    <w:p>
      <w:pPr>
        <w:jc w:val="left"/>
      </w:pPr>
      <w:r>
        <w:br w:type="page"/>
      </w:r>
    </w:p>
    <w:p>
      <w:pPr>
        <w:sectPr>
          <w:pgSz w:w="11906" w:h="16838" w:orient="portrait"/>
          <w:pgMar w:top="1080" w:right="1080" w:bottom="1080" w:left="1080" w:header="708" w:footer="708" w:gutter="0"/>
          <w:pgNumType/>
          <w:docGrid w:linePitch="360"/>
        </w:sectPr>
      </w:pPr>
    </w:p>
    <w:p>
      <w:pPr>
        <w:pBdr>
          <w:bottom w:val="single" w:color="D0D0D0" w:sz="4" w:space="2"/>
        </w:pBdr>
        <w:spacing w:after="100"/>
        <w:jc w:val="left"/>
      </w:pPr>
      <w:r>
        <w:rPr>
          <w:sz w:val="22"/>
          <w:szCs w:val="22"/>
          <w:rFonts w:ascii="Arial" w:cs="Arial" w:eastAsia="Arial" w:hAnsi="Arial"/>
        </w:rPr>
      </w:r>
    </w:p>
    <w:p>
      <w:pPr>
        <w:spacing w:before="160" w:after="80"/>
        <w:jc w:val="left"/>
      </w:pPr>
      <w:r>
        <w:rPr>
          <w:b/>
          <w:bCs/>
          <w:color w:val="1B2B4B"/>
          <w:sz w:val="23"/>
          <w:szCs w:val="23"/>
          <w:rFonts w:ascii="Arial" w:cs="Arial" w:eastAsia="Arial" w:hAnsi="Arial"/>
        </w:rPr>
        <w:t xml:space="preserve">POSITIONSPAPIER</w:t>
      </w:r>
    </w:p>
    <w:p>
      <w:pPr>
        <w:spacing w:after="60" w:line="240"/>
        <w:jc w:val="left"/>
      </w:pPr>
      <w:r>
        <w:rPr>
          <w:sz w:val="22"/>
          <w:szCs w:val="22"/>
          <w:rFonts w:ascii="Arial" w:cs="Arial" w:eastAsia="Arial" w:hAnsi="Arial"/>
        </w:rP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D0D0D0" w:sz="4"/>
              <w:left w:val="single" w:color="D0D0D0" w:sz="4"/>
              <w:bottom w:val="single" w:color="D0D0D0" w:sz="4"/>
              <w:right w:val="single" w:color="D0D0D0" w:sz="4"/>
            </w:tcBorders>
            <w:shd w:fill="1B2B4B" w:val="clear"/>
            <w:tcMar>
              <w:top w:type="dxa" w:w="100"/>
              <w:left w:type="dxa" w:w="180"/>
              <w:bottom w:type="dxa" w:w="100"/>
              <w:right w:type="dxa" w:w="180"/>
            </w:tcMar>
          </w:tcPr>
          <w:p>
            <w:pPr>
              <w:spacing w:after="0" w:line="240"/>
              <w:jc w:val="left"/>
            </w:pPr>
            <w:r>
              <w:rPr>
                <w:b/>
                <w:bCs/>
                <w:color w:val="FFFFFF"/>
                <w:sz w:val="24"/>
                <w:szCs w:val="24"/>
                <w:rFonts w:ascii="Arial" w:cs="Arial" w:eastAsia="Arial" w:hAnsi="Arial"/>
              </w:rPr>
              <w:t xml:space="preserve">Gegen die Kürzung der Marktexklusivität für Orphan-Arzneimittel im EU-Pharmapaket 2026: Schutz der Innovationsanreize für seltene Erkrankungen und der Wettbewerbsfähigkeit des deutschen Biotechnologiestandorts</w:t>
            </w:r>
          </w:p>
        </w:tc>
      </w:tr>
    </w:tbl>
    <w:p>
      <w:pPr>
        <w:spacing w:after="80" w:line="240"/>
        <w:jc w:val="left"/>
      </w:pPr>
      <w:r>
        <w:rPr>
          <w:sz w:val="22"/>
          <w:szCs w:val="22"/>
          <w:rFonts w:ascii="Arial" w:cs="Arial" w:eastAsia="Arial" w:hAnsi="Arial"/>
        </w:rPr>
      </w:r>
    </w:p>
    <w:p>
      <w:pPr>
        <w:spacing w:before="160" w:after="80"/>
        <w:jc w:val="left"/>
      </w:pPr>
      <w:r>
        <w:rPr>
          <w:b/>
          <w:bCs/>
          <w:color w:val="1B2B4B"/>
          <w:sz w:val="23"/>
          <w:szCs w:val="23"/>
          <w:rFonts w:ascii="Arial" w:cs="Arial" w:eastAsia="Arial" w:hAnsi="Arial"/>
        </w:rPr>
        <w:t xml:space="preserve">Helix Biotech GmbH, München</w:t>
      </w:r>
    </w:p>
    <w:p>
      <w:pPr>
        <w:spacing w:after="140" w:line="276"/>
        <w:jc w:val="left"/>
      </w:pPr>
      <w:r>
        <w:rPr>
          <w:b/>
          <w:bCs/>
          <w:sz w:val="22"/>
          <w:szCs w:val="22"/>
          <w:rFonts w:ascii="Arial" w:cs="Arial" w:eastAsia="Arial" w:hAnsi="Arial"/>
        </w:rPr>
        <w:t xml:space="preserve">Adressiert an:</w:t>
      </w:r>
      <w:r>
        <w:rPr>
          <w:sz w:val="22"/>
          <w:szCs w:val="22"/>
          <w:rFonts w:ascii="Arial" w:cs="Arial" w:eastAsia="Arial" w:hAnsi="Arial"/>
        </w:rPr>
        <w:t xml:space="preserve"> Die Mitglieder des Ausschusses für Gesundheit des Deutschen Bundestages sowie das Bundesministerium für Gesundheit</w:t>
      </w:r>
    </w:p>
    <w:p>
      <w:pPr>
        <w:spacing w:after="140" w:line="276"/>
        <w:jc w:val="left"/>
      </w:pPr>
      <w:r>
        <w:rPr>
          <w:b/>
          <w:bCs/>
          <w:sz w:val="22"/>
          <w:szCs w:val="22"/>
          <w:rFonts w:ascii="Arial" w:cs="Arial" w:eastAsia="Arial" w:hAnsi="Arial"/>
        </w:rPr>
        <w:t xml:space="preserve">Datum:</w:t>
      </w:r>
      <w:r>
        <w:rPr>
          <w:sz w:val="22"/>
          <w:szCs w:val="22"/>
          <w:rFonts w:ascii="Arial" w:cs="Arial" w:eastAsia="Arial" w:hAnsi="Arial"/>
        </w:rPr>
        <w:t xml:space="preserve"> April 2026</w:t>
      </w:r>
    </w:p>
    <w:p>
      <w:pPr>
        <w:spacing w:after="140" w:line="276"/>
        <w:jc w:val="left"/>
      </w:pPr>
      <w:r>
        <w:rPr>
          <w:b/>
          <w:bCs/>
          <w:sz w:val="22"/>
          <w:szCs w:val="22"/>
          <w:rFonts w:ascii="Arial" w:cs="Arial" w:eastAsia="Arial" w:hAnsi="Arial"/>
        </w:rPr>
        <w:t xml:space="preserve">Status:</w:t>
      </w:r>
      <w:r>
        <w:rPr>
          <w:sz w:val="22"/>
          <w:szCs w:val="22"/>
          <w:rFonts w:ascii="Arial" w:cs="Arial" w:eastAsia="Arial" w:hAnsi="Arial"/>
        </w:rPr>
        <w:t xml:space="preserve"> Zur Einreichung / Öffentlich</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KERNBOTSCHAFTEN</w:t>
      </w:r>
    </w:p>
    <w:p>
      <w:pPr>
        <w:pStyle w:val="ListParagraph"/>
        <w:numPr>
          <w:ilvl w:val="0"/>
          <w:numId w:val="2"/>
        </w:numPr>
        <w:spacing w:after="100" w:line="276"/>
        <w:ind w:left="720" w:hanging="360"/>
        <w:jc w:val="left"/>
      </w:pPr>
      <w:r>
        <w:rPr>
          <w:b/>
          <w:bCs/>
          <w:sz w:val="22"/>
          <w:szCs w:val="22"/>
          <w:rFonts w:ascii="Arial" w:cs="Arial" w:eastAsia="Arial" w:hAnsi="Arial"/>
        </w:rPr>
        <w:t xml:space="preserve">Menschlicher Preis der Untätigkeit:</w:t>
      </w:r>
      <w:r>
        <w:rPr>
          <w:sz w:val="22"/>
          <w:szCs w:val="22"/>
          <w:rFonts w:ascii="Arial" w:cs="Arial" w:eastAsia="Arial" w:hAnsi="Arial"/>
        </w:rPr>
        <w:t xml:space="preserve"> Rund 30 Millionen Menschen leben in Europa mit einer seltenen Erkrankung; es gibt über 6.000 verschiedene seltene Krankheiten — und 95 % der über 6.000 anerkannten seltenen Erkrankungen haben nach wie vor keine Behandlungsoption. Jede Schwächung der Innovationsanreize verlängert das Leiden dieser Patienten unmittelbar.</w:t>
      </w:r>
    </w:p>
    <w:p>
      <w:pPr>
        <w:pStyle w:val="ListParagraph"/>
        <w:numPr>
          <w:ilvl w:val="0"/>
          <w:numId w:val="2"/>
        </w:numPr>
        <w:spacing w:after="100" w:line="276"/>
        <w:ind w:left="720" w:hanging="360"/>
        <w:jc w:val="left"/>
      </w:pPr>
      <w:r>
        <w:rPr>
          <w:b/>
          <w:bCs/>
          <w:sz w:val="22"/>
          <w:szCs w:val="22"/>
          <w:rFonts w:ascii="Arial" w:cs="Arial" w:eastAsia="Arial" w:hAnsi="Arial"/>
        </w:rPr>
        <w:t xml:space="preserve">Struktureller Wettbewerbsnachteil:</w:t>
      </w:r>
      <w:r>
        <w:rPr>
          <w:sz w:val="22"/>
          <w:szCs w:val="22"/>
          <w:rFonts w:ascii="Arial" w:cs="Arial" w:eastAsia="Arial" w:hAnsi="Arial"/>
        </w:rPr>
        <w:t xml:space="preserve"> Deutschland wäre vom Rückgang der F&amp;E-Investitionen am stärksten betroffen — mit einem geschätzten Verlust von rund 626 Millionen Euro pro Jahr. Die geplante Kürzung der Orphan-Marktexklusivität von 10 auf 9 Jahre verschärft die bereits bestehende Abwanderung von Innovationskapital in die USA und nach Asien.</w:t>
      </w:r>
    </w:p>
    <w:p>
      <w:pPr>
        <w:pStyle w:val="ListParagraph"/>
        <w:numPr>
          <w:ilvl w:val="0"/>
          <w:numId w:val="2"/>
        </w:numPr>
        <w:spacing w:after="100" w:line="276"/>
        <w:ind w:left="720" w:hanging="360"/>
        <w:jc w:val="left"/>
      </w:pPr>
      <w:r>
        <w:rPr>
          <w:b/>
          <w:bCs/>
          <w:sz w:val="22"/>
          <w:szCs w:val="22"/>
          <w:rFonts w:ascii="Arial" w:cs="Arial" w:eastAsia="Arial" w:hAnsi="Arial"/>
        </w:rPr>
        <w:t xml:space="preserve">Bewährtes Instrument nicht beschädigen:</w:t>
      </w:r>
      <w:r>
        <w:rPr>
          <w:sz w:val="22"/>
          <w:szCs w:val="22"/>
          <w:rFonts w:ascii="Arial" w:cs="Arial" w:eastAsia="Arial" w:hAnsi="Arial"/>
        </w:rPr>
        <w:t xml:space="preserve"> Die EU-Orphan-Verordnung von 2000 hat funktioniert: Vor zwei Jahrzehnten lag die Zahl der EU-zugelassenen Arzneimittel gegen seltene Krankheiten im einstelligen Bereich; bis heute wurden über 205 neue Behandlungen für Orphan-Indikationen zugelassen.</w:t>
      </w:r>
    </w:p>
    <w:p>
      <w:pPr>
        <w:pStyle w:val="ListParagraph"/>
        <w:numPr>
          <w:ilvl w:val="0"/>
          <w:numId w:val="2"/>
        </w:numPr>
        <w:spacing w:after="100" w:line="276"/>
        <w:ind w:left="720" w:hanging="360"/>
        <w:jc w:val="left"/>
      </w:pPr>
      <w:r>
        <w:rPr>
          <w:b/>
          <w:bCs/>
          <w:sz w:val="22"/>
          <w:szCs w:val="22"/>
          <w:rFonts w:ascii="Arial" w:cs="Arial" w:eastAsia="Arial" w:hAnsi="Arial"/>
        </w:rPr>
        <w:t xml:space="preserve">Deutschland muss auf EU-Ebene für den Erhalt der 10-Jahres-Basisexklusivität eintreten</w:t>
      </w:r>
      <w:r>
        <w:rPr>
          <w:sz w:val="22"/>
          <w:szCs w:val="22"/>
          <w:rFonts w:ascii="Arial" w:cs="Arial" w:eastAsia="Arial" w:hAnsi="Arial"/>
        </w:rPr>
        <w:t xml:space="preserve">, um seine Position als führender Biotech-Standort Europas zu schützen und die Versorgung von Patienten mit seltenen Erkrankungen zu sichern.</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ZUSAMMENFASSUNG (EXECUTIVE SUMMARY)</w:t>
      </w:r>
    </w:p>
    <w:p>
      <w:pPr>
        <w:spacing w:after="140" w:line="276"/>
        <w:jc w:val="left"/>
      </w:pPr>
      <w:r>
        <w:rPr>
          <w:sz w:val="22"/>
          <w:szCs w:val="22"/>
          <w:rFonts w:ascii="Arial" w:cs="Arial" w:eastAsia="Arial" w:hAnsi="Arial"/>
        </w:rPr>
        <w:t xml:space="preserve">Die Europäische Union hat im Dezember 2025 eine politische Einigung über das umfassendste Pharmapaket seit über zwei Jahrzehnten erzielt. Am 11. Dezember 2025 einigten sich die EU-Institutionen auf das „Pharmapaket" — der Abschluss eines mehrjährigen Gesetzgebungsverfahrens, das mit dem Vorschlag der Europäischen Kommission im April 2023 begann. Ein zentrales Element ist die Neugestaltung der Orphan-Marktexklusivität: Die Standard-Marktexklusivitätsfrist für Orphan-Arzneimittel wird auf neun Jahre festgelegt — eine Kürzung gegenüber den derzeit geltenden zehn Jahren.</w:t>
      </w:r>
    </w:p>
    <w:p>
      <w:pPr>
        <w:spacing w:after="140" w:line="276"/>
        <w:jc w:val="left"/>
      </w:pPr>
      <w:r>
        <w:rPr>
          <w:sz w:val="22"/>
          <w:szCs w:val="22"/>
          <w:rFonts w:ascii="Arial" w:cs="Arial" w:eastAsia="Arial" w:hAnsi="Arial"/>
        </w:rPr>
        <w:t xml:space="preserve">Diese Kürzung betrifft nicht nur einen abstrakten Regulierungsparameter. Sie betrifft unmittelbar die Investitionsentscheidungen kleiner und mittlerer Biotechnologieunternehmen wie Helix Biotech GmbH, die sich auf die Entwicklung von Therapien für seltene Erkrankungen spezialisiert haben. Die Entwicklung eines Orphan-Arzneimittels dauert typischerweise 10–15 Jahre bei Entwicklungskosten, die häufig 1–2 Milliarden Euro übersteigen. Jedes verlorene Jahr der Marktexklusivität reduziert den Zeitraum der Amortisation dieser Investitionen signifikant und verschiebt die Risikoberechnung für Investoren in eine negative Richtung.</w:t>
      </w:r>
    </w:p>
    <w:p>
      <w:pPr>
        <w:spacing w:after="140" w:line="276"/>
        <w:jc w:val="left"/>
      </w:pPr>
      <w:r>
        <w:rPr>
          <w:sz w:val="22"/>
          <w:szCs w:val="22"/>
          <w:rFonts w:ascii="Arial" w:cs="Arial" w:eastAsia="Arial" w:hAnsi="Arial"/>
        </w:rPr>
        <w:t xml:space="preserve">EFPIA verzeichnet einen EU-weiten Rückgang der Forschungs- und Entwicklungsinvestitionen um 25 % in den letzten zwei Jahrzehnten, mit einer Verlagerung der Investitionen nach Asien und in die USA aufgrund von „Schwierigkeiten bei der Innovation in Europa". Europäische Biotechunternehmen, die Orphan-Arzneimittel entwickeln, priorisieren häufig den US-Markt, was zu einer konsequent höheren Zahl von Orphan-Zulassungen in den USA pro Jahr im Vergleich zu Europa führt.</w:t>
      </w:r>
    </w:p>
    <w:p>
      <w:pPr>
        <w:spacing w:after="140" w:line="276"/>
        <w:jc w:val="left"/>
      </w:pPr>
      <w:r>
        <w:rPr>
          <w:sz w:val="22"/>
          <w:szCs w:val="22"/>
          <w:rFonts w:ascii="Arial" w:cs="Arial" w:eastAsia="Arial" w:hAnsi="Arial"/>
        </w:rPr>
        <w:t xml:space="preserve">Das Gesundheitsministerium und die Mitglieder des Gesundheitsausschusses haben die Macht, diesen Trend umzukehren. Deutschland hat als größter EU-Mitgliedstaat und größter Pharmamarkt Europas erheblichen Einfluss auf die noch ausstehende formale Verabschiedung im Rat. Wir fordern: </w:t>
      </w:r>
      <w:r>
        <w:rPr>
          <w:b/>
          <w:bCs/>
          <w:sz w:val="22"/>
          <w:szCs w:val="22"/>
          <w:rFonts w:ascii="Arial" w:cs="Arial" w:eastAsia="Arial" w:hAnsi="Arial"/>
        </w:rPr>
        <w:t xml:space="preserve">(1)</w:t>
      </w:r>
      <w:r>
        <w:rPr>
          <w:sz w:val="22"/>
          <w:szCs w:val="22"/>
          <w:rFonts w:ascii="Arial" w:cs="Arial" w:eastAsia="Arial" w:hAnsi="Arial"/>
        </w:rPr>
        <w:t xml:space="preserve"> die aktive Unterstützung der vom Rat ursprünglich vorgeschlagenen 10-Jahres-Basisexklusivität, </w:t>
      </w:r>
      <w:r>
        <w:rPr>
          <w:b/>
          <w:bCs/>
          <w:sz w:val="22"/>
          <w:szCs w:val="22"/>
          <w:rFonts w:ascii="Arial" w:cs="Arial" w:eastAsia="Arial" w:hAnsi="Arial"/>
        </w:rPr>
        <w:t xml:space="preserve">(2)</w:t>
      </w:r>
      <w:r>
        <w:rPr>
          <w:sz w:val="22"/>
          <w:szCs w:val="22"/>
          <w:rFonts w:ascii="Arial" w:cs="Arial" w:eastAsia="Arial" w:hAnsi="Arial"/>
        </w:rPr>
        <w:t xml:space="preserve"> eine flankierende nationale Strategie zur Stärkung der Orphan-Drug-Forschung in Deutschland und </w:t>
      </w:r>
      <w:r>
        <w:rPr>
          <w:b/>
          <w:bCs/>
          <w:sz w:val="22"/>
          <w:szCs w:val="22"/>
          <w:rFonts w:ascii="Arial" w:cs="Arial" w:eastAsia="Arial" w:hAnsi="Arial"/>
        </w:rPr>
        <w:t xml:space="preserve">(3)</w:t>
      </w:r>
      <w:r>
        <w:rPr>
          <w:sz w:val="22"/>
          <w:szCs w:val="22"/>
          <w:rFonts w:ascii="Arial" w:cs="Arial" w:eastAsia="Arial" w:hAnsi="Arial"/>
        </w:rPr>
        <w:t xml:space="preserve"> die Einrichtung ergänzender Fördermechanismen für KMU im Bereich seltener Erkrankungen.</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1. HINTERGRUND UND PROBLEMDEFINITION</w:t>
      </w:r>
    </w:p>
    <w:p>
      <w:pPr>
        <w:pStyle w:val="Heading3"/>
        <w:spacing w:before="160" w:after="80"/>
        <w:jc w:val="left"/>
      </w:pPr>
      <w:r>
        <w:rPr>
          <w:b/>
          <w:bCs/>
          <w:color w:val="1B2B4B"/>
          <w:sz w:val="23"/>
          <w:szCs w:val="23"/>
          <w:rFonts w:ascii="Arial" w:cs="Arial" w:eastAsia="Arial" w:hAnsi="Arial"/>
        </w:rPr>
        <w:t xml:space="preserve">1.1 Aktuelle Regulierungsbasis</w:t>
      </w:r>
    </w:p>
    <w:p>
      <w:pPr>
        <w:spacing w:before="160" w:after="80"/>
        <w:jc w:val="left"/>
      </w:pPr>
      <w:r>
        <w:rPr>
          <w:b/>
          <w:bCs/>
          <w:color w:val="1B2B4B"/>
          <w:sz w:val="23"/>
          <w:szCs w:val="23"/>
          <w:rFonts w:ascii="Arial" w:cs="Arial" w:eastAsia="Arial" w:hAnsi="Arial"/>
        </w:rPr>
        <w:t xml:space="preserve">EU-Ebene: Verordnung (EG) Nr. 141/2000 über Arzneimittel für seltene Leiden</w:t>
      </w:r>
    </w:p>
    <w:p>
      <w:pPr>
        <w:spacing w:after="140" w:line="276"/>
        <w:jc w:val="left"/>
      </w:pPr>
      <w:r>
        <w:rPr>
          <w:sz w:val="22"/>
          <w:szCs w:val="22"/>
          <w:rFonts w:ascii="Arial" w:cs="Arial" w:eastAsia="Arial" w:hAnsi="Arial"/>
        </w:rPr>
        <w:t xml:space="preserve">Orphan-Arzneimittel profitieren derzeit von zehn Jahren Marktexklusivität nach Erteilung der Zulassung in der EU. Diese Maßnahme soll die Entwicklung von Arzneimitteln für seltene Krankheiten fördern, indem sie vor der Konkurrenz durch ähnliche Arzneimittel mit ähnlichen Indikationen geschützt werden. Jede Indikation mit Orphan-Designation gewährt zehn Jahre Marktexklusivität für die spezifische Indikation; ein Arzneimittel mit mehreren Orphan-Designierungen für verschiedene Erkrankungen profitiert von separaten Exklusivitätszeiträumen.</w:t>
      </w:r>
    </w:p>
    <w:p>
      <w:pPr>
        <w:spacing w:after="140" w:line="276"/>
        <w:jc w:val="left"/>
      </w:pPr>
      <w:r>
        <w:rPr>
          <w:sz w:val="22"/>
          <w:szCs w:val="22"/>
          <w:rFonts w:ascii="Arial" w:cs="Arial" w:eastAsia="Arial" w:hAnsi="Arial"/>
        </w:rPr>
        <w:t xml:space="preserve">Die Exklusivitätsfrist kann um zwei zusätzliche Jahre verlängert werden, wenn Ergebnisse spezifischer Studien zur Anwendung in der pädiatrischen Population abgeschlossen wurden. Die Europäische Kommission gewährt die Verlängerung auf Grundlage einer positiven Prüfung durch den Pädiatrieausschuss und einer Stellungnahme des CHMP.</w:t>
      </w:r>
    </w:p>
    <w:p>
      <w:pPr>
        <w:spacing w:after="140" w:line="276"/>
        <w:jc w:val="left"/>
      </w:pPr>
      <w:r>
        <w:rPr>
          <w:sz w:val="22"/>
          <w:szCs w:val="22"/>
          <w:rFonts w:ascii="Arial" w:cs="Arial" w:eastAsia="Arial" w:hAnsi="Arial"/>
        </w:rPr>
        <w:t xml:space="preserve">Die zentrale Rechtsgrundlage — Verordnung (EG) Nr. 141/2000 des Europäischen Parlaments und des Rates vom 16. Dezember 1999 über Arzneimittel für seltene Leiden — wird durch das neue Pharmapaket vollständig ersetzt. Die EU hat eine politische Einigung über eine umfassende Überarbeitung ihrer Pharmagesetzgebung erzielt; diese Instrumente ersetzen den langjährigen Gemeinschaftskodex (Richtlinie 2001/83/EG), die EMA-Verordnung (Verordnung (EG) Nr. 726/2004) sowie die Orphan-Verordnung (Verordnung (EG) Nr. 141/2000).</w:t>
      </w:r>
    </w:p>
    <w:p>
      <w:pPr>
        <w:spacing w:before="160" w:after="80"/>
        <w:jc w:val="left"/>
      </w:pPr>
      <w:r>
        <w:rPr>
          <w:b/>
          <w:bCs/>
          <w:color w:val="1B2B4B"/>
          <w:sz w:val="23"/>
          <w:szCs w:val="23"/>
          <w:rFonts w:ascii="Arial" w:cs="Arial" w:eastAsia="Arial" w:hAnsi="Arial"/>
        </w:rPr>
        <w:t xml:space="preserve">Deutschland: AMNOG-Verfahren und Orphan-Drug-Bewertung</w:t>
      </w:r>
    </w:p>
    <w:p>
      <w:pPr>
        <w:spacing w:after="140" w:line="276"/>
        <w:jc w:val="left"/>
      </w:pPr>
      <w:r>
        <w:rPr>
          <w:sz w:val="22"/>
          <w:szCs w:val="22"/>
          <w:rFonts w:ascii="Arial" w:cs="Arial" w:eastAsia="Arial" w:hAnsi="Arial"/>
        </w:rPr>
        <w:t xml:space="preserve">In Deutschland unterliegen Orphan-Arzneimittel dem AMNOG-Nutzenbewertungsverfahren des Gemeinsamen Bundesausschusses (G-BA) mit besonderen Regelungen: Orphan Drugs folgen einem besonderen Weg innerhalb der deutschen Erstattungslandschaft. Ihr Zusatznutzen wird gesetzlich als „nicht quantifizierbar" anerkannt und erfordert keine direkte Vergleichsevidenz zur zweckmäßigen Vergleichstherapie. Überschreitet der Umsatz eines Orphan-Arzneimittels jedoch 30 Millionen Euro innerhalb von 12 Monaten, wird ein reguläres Nutzenbewertungsverfahren eingeleitet.</w:t>
      </w:r>
    </w:p>
    <w:p>
      <w:pPr>
        <w:spacing w:before="160" w:after="80"/>
        <w:jc w:val="left"/>
      </w:pPr>
      <w:r>
        <w:rPr>
          <w:b/>
          <w:bCs/>
          <w:color w:val="1B2B4B"/>
          <w:sz w:val="23"/>
          <w:szCs w:val="23"/>
          <w:rFonts w:ascii="Arial" w:cs="Arial" w:eastAsia="Arial" w:hAnsi="Arial"/>
        </w:rPr>
        <w:t xml:space="preserve">Das neue EU-Pharmapaket: Tiered Exclusivity System</w:t>
      </w:r>
    </w:p>
    <w:p>
      <w:pPr>
        <w:spacing w:after="140" w:line="276"/>
        <w:jc w:val="left"/>
      </w:pPr>
      <w:r>
        <w:rPr>
          <w:sz w:val="22"/>
          <w:szCs w:val="22"/>
          <w:rFonts w:ascii="Arial" w:cs="Arial" w:eastAsia="Arial" w:hAnsi="Arial"/>
        </w:rPr>
        <w:t xml:space="preserve">Die neue Verordnung ersetzt die derzeitige fixe zehnjährige Orphan-Marktexklusivität durch ein gestaffeltes System, das auf dem klinischen Profil des Produkts basiert, mit zusätzlichen Jahren für Durchbruch-Orphan-Arzneimittel, die Erkrankungen behandeln, für die keine zugelassene Behandlung existiert und die eine klinisch relevante Verringerung der Krankheitsmorbidität oder -mortalität bewirken.</w:t>
      </w:r>
    </w:p>
    <w:p>
      <w:pPr>
        <w:spacing w:after="140" w:line="276"/>
        <w:jc w:val="left"/>
      </w:pPr>
      <w:r>
        <w:rPr>
          <w:sz w:val="22"/>
          <w:szCs w:val="22"/>
          <w:rFonts w:ascii="Arial" w:cs="Arial" w:eastAsia="Arial" w:hAnsi="Arial"/>
        </w:rPr>
        <w:t xml:space="preserve">Das neue System sieht folgende Stufen vor:</w:t>
      </w:r>
    </w:p>
    <w:p>
      <w:pPr>
        <w:pStyle w:val="ListParagraph"/>
        <w:numPr>
          <w:ilvl w:val="0"/>
          <w:numId w:val="2"/>
        </w:numPr>
        <w:spacing w:after="100" w:line="276"/>
        <w:ind w:left="720" w:hanging="360"/>
        <w:jc w:val="left"/>
      </w:pPr>
      <w:r>
        <w:rPr>
          <w:b/>
          <w:bCs/>
          <w:sz w:val="22"/>
          <w:szCs w:val="22"/>
          <w:rFonts w:ascii="Arial" w:cs="Arial" w:eastAsia="Arial" w:hAnsi="Arial"/>
        </w:rPr>
        <w:t xml:space="preserve">9 Jahre</w:t>
      </w:r>
      <w:r>
        <w:rPr>
          <w:sz w:val="22"/>
          <w:szCs w:val="22"/>
          <w:rFonts w:ascii="Arial" w:cs="Arial" w:eastAsia="Arial" w:hAnsi="Arial"/>
        </w:rPr>
        <w:t xml:space="preserve"> Basisexklusivität für Standard-Orphan-Arzneimittel</w:t>
      </w:r>
    </w:p>
    <w:p>
      <w:pPr>
        <w:pStyle w:val="ListParagraph"/>
        <w:numPr>
          <w:ilvl w:val="0"/>
          <w:numId w:val="2"/>
        </w:numPr>
        <w:spacing w:after="100" w:line="276"/>
        <w:ind w:left="720" w:hanging="360"/>
        <w:jc w:val="left"/>
      </w:pPr>
      <w:r>
        <w:rPr>
          <w:b/>
          <w:bCs/>
          <w:sz w:val="22"/>
          <w:szCs w:val="22"/>
          <w:rFonts w:ascii="Arial" w:cs="Arial" w:eastAsia="Arial" w:hAnsi="Arial"/>
        </w:rPr>
        <w:t xml:space="preserve">11 Jahre</w:t>
      </w:r>
      <w:r>
        <w:rPr>
          <w:sz w:val="22"/>
          <w:szCs w:val="22"/>
          <w:rFonts w:ascii="Arial" w:cs="Arial" w:eastAsia="Arial" w:hAnsi="Arial"/>
        </w:rPr>
        <w:t xml:space="preserve"> für „Durchbruch-Orphan-Arzneimittel" (Breakthrough Orphan Medicinal Products)</w:t>
      </w:r>
    </w:p>
    <w:p>
      <w:pPr>
        <w:pStyle w:val="ListParagraph"/>
        <w:numPr>
          <w:ilvl w:val="0"/>
          <w:numId w:val="2"/>
        </w:numPr>
        <w:spacing w:after="100" w:line="276"/>
        <w:ind w:left="720" w:hanging="360"/>
        <w:jc w:val="left"/>
      </w:pPr>
      <w:r>
        <w:rPr>
          <w:b/>
          <w:bCs/>
          <w:sz w:val="22"/>
          <w:szCs w:val="22"/>
          <w:rFonts w:ascii="Arial" w:cs="Arial" w:eastAsia="Arial" w:hAnsi="Arial"/>
        </w:rPr>
        <w:t xml:space="preserve">4–5 Jahre</w:t>
      </w:r>
      <w:r>
        <w:rPr>
          <w:sz w:val="22"/>
          <w:szCs w:val="22"/>
          <w:rFonts w:ascii="Arial" w:cs="Arial" w:eastAsia="Arial" w:hAnsi="Arial"/>
        </w:rPr>
        <w:t xml:space="preserve"> für Produkte auf Basis bibliographischer Daten (Well-Established Use)</w:t>
      </w:r>
    </w:p>
    <w:p>
      <w:pPr>
        <w:spacing w:after="140" w:line="276"/>
        <w:jc w:val="left"/>
      </w:pPr>
      <w:r>
        <w:rPr>
          <w:sz w:val="22"/>
          <w:szCs w:val="22"/>
          <w:rFonts w:ascii="Arial" w:cs="Arial" w:eastAsia="Arial" w:hAnsi="Arial"/>
        </w:rPr>
        <w:t xml:space="preserve">Zwei weitere Verlängerungen von je einem Jahr sind möglich: eine, wenn der Zulassungsinhaber das Produkt in allen Mitgliedstaaten in ausreichender Menge bereitgestellt hat, und eine für jede neue zugelassene Orphan-Indikation — auf maximal zwei solcher Verlängerungen begrenzt.</w:t>
      </w:r>
    </w:p>
    <w:p>
      <w:pPr>
        <w:spacing w:after="140" w:line="276"/>
        <w:jc w:val="left"/>
      </w:pPr>
      <w:r>
        <w:rPr>
          <w:sz w:val="22"/>
          <w:szCs w:val="22"/>
          <w:rFonts w:ascii="Arial" w:cs="Arial" w:eastAsia="Arial" w:hAnsi="Arial"/>
        </w:rPr>
        <w:t xml:space="preserve">Der Sechs-Jahres-Überprüfungsmechanismus wurde abgeschafft, und Anträge auf Generika- und Biosimilar-Zulassungen können nun in den letzten zwei Jahren vor Ablauf der Orphan-Marktexklusivität eingereicht und bewertet werden.</w:t>
      </w:r>
    </w:p>
    <w:p>
      <w:pPr>
        <w:pStyle w:val="Heading3"/>
        <w:spacing w:before="160" w:after="80"/>
        <w:jc w:val="left"/>
      </w:pPr>
      <w:r>
        <w:rPr>
          <w:b/>
          <w:bCs/>
          <w:color w:val="1B2B4B"/>
          <w:sz w:val="23"/>
          <w:szCs w:val="23"/>
          <w:rFonts w:ascii="Arial" w:cs="Arial" w:eastAsia="Arial" w:hAnsi="Arial"/>
        </w:rPr>
        <w:t xml:space="preserve">1.2 Das Problem</w:t>
      </w:r>
    </w:p>
    <w:p>
      <w:pPr>
        <w:spacing w:after="140" w:line="276"/>
        <w:jc w:val="left"/>
      </w:pPr>
      <w:r>
        <w:rPr>
          <w:sz w:val="22"/>
          <w:szCs w:val="22"/>
          <w:rFonts w:ascii="Arial" w:cs="Arial" w:eastAsia="Arial" w:hAnsi="Arial"/>
        </w:rPr>
        <w:t xml:space="preserve">Die Kürzung der Basisexklusivität von 10 auf 9 Jahre erzeugt für kleine und mittlere Biotechnologieunternehmen, die sich auf seltene Erkrankungen spezialisiert haben, ein dreifaches Problem:</w:t>
      </w:r>
    </w:p>
    <w:p>
      <w:pPr>
        <w:spacing w:before="160" w:after="80"/>
        <w:jc w:val="left"/>
      </w:pPr>
      <w:r>
        <w:rPr>
          <w:b/>
          <w:bCs/>
          <w:color w:val="1B2B4B"/>
          <w:sz w:val="23"/>
          <w:szCs w:val="23"/>
          <w:rFonts w:ascii="Arial" w:cs="Arial" w:eastAsia="Arial" w:hAnsi="Arial"/>
        </w:rPr>
        <w:t xml:space="preserve">1. Investitionslogik wird untergraben</w:t>
      </w:r>
    </w:p>
    <w:p>
      <w:pPr>
        <w:spacing w:after="140" w:line="276"/>
        <w:jc w:val="left"/>
      </w:pPr>
      <w:r>
        <w:rPr>
          <w:sz w:val="22"/>
          <w:szCs w:val="22"/>
          <w:rFonts w:ascii="Arial" w:cs="Arial" w:eastAsia="Arial" w:hAnsi="Arial"/>
        </w:rPr>
        <w:t xml:space="preserve">Die Entwicklung eines Orphan-Arzneimittels ist inhärent risikoreich und kapitalintensiv. Steigende Entwicklungskosten, längere klinische Laufzeiten und niedrige relative und erwartete Renditen auf F&amp;E-Investitionen haben die Attraktivität der Märkte für seltene Erkrankungen bereits erheblich verringert. Jedes verlorene Jahr Exklusivität reduziert den Erwartungswert einer Investition überproportional, weil die Amortisationszeit bei kleinen Patientenpopulationen ohnehin limitiert ist.</w:t>
      </w:r>
    </w:p>
    <w:p>
      <w:pPr>
        <w:spacing w:after="140" w:line="276"/>
        <w:jc w:val="left"/>
      </w:pPr>
      <w:r>
        <w:rPr>
          <w:sz w:val="22"/>
          <w:szCs w:val="22"/>
          <w:rFonts w:ascii="Arial" w:cs="Arial" w:eastAsia="Arial" w:hAnsi="Arial"/>
        </w:rPr>
        <w:t xml:space="preserve">Eine EFPIA-beauftragte Studie von Dolon fand heraus, dass die Vorschläge — wie ursprünglich formuliert — einen negativen Einfluss auf die Entwicklung von 45 Produkten in Europa hätten, was einem Rückgang der Innovation um 12 % entspricht. Im Szenario weitergehender Änderungen an bestehenden Orphan-Incentives zeigte die Modellierung, dass zwischen 2020 und 2035 135 weniger Orphan-Produkte entwickelt würden. </w:t>
      </w:r>
      <w:hyperlink w:history="1" r:id="rIdacr0im5d4rwd6zbi18ron">
        <w:r>
          <w:rPr>
            <w:u w:val="single" w:color="1155CC"/>
            <w:color w:val="1155CC"/>
            <w:sz w:val="22"/>
            <w:szCs w:val="22"/>
            <w:rFonts w:ascii="Arial" w:cs="Arial" w:eastAsia="Arial" w:hAnsi="Arial"/>
          </w:rPr>
          <w:t xml:space="preserve">EFPIA-Positionspapier Orphan Medicines</w:t>
        </w:r>
      </w:hyperlink>
    </w:p>
    <w:p>
      <w:pPr>
        <w:spacing w:before="160" w:after="80"/>
        <w:jc w:val="left"/>
      </w:pPr>
      <w:r>
        <w:rPr>
          <w:b/>
          <w:bCs/>
          <w:color w:val="1B2B4B"/>
          <w:sz w:val="23"/>
          <w:szCs w:val="23"/>
          <w:rFonts w:ascii="Arial" w:cs="Arial" w:eastAsia="Arial" w:hAnsi="Arial"/>
        </w:rPr>
        <w:t xml:space="preserve">2. Abwanderung in die USA</w:t>
      </w:r>
    </w:p>
    <w:p>
      <w:pPr>
        <w:spacing w:after="140" w:line="276"/>
        <w:jc w:val="left"/>
      </w:pPr>
      <w:r>
        <w:rPr>
          <w:sz w:val="22"/>
          <w:szCs w:val="22"/>
          <w:rFonts w:ascii="Arial" w:cs="Arial" w:eastAsia="Arial" w:hAnsi="Arial"/>
        </w:rPr>
        <w:t xml:space="preserve">Wie EFPIA 2020 feststellte, stammte fast die Hälfte aller neuen globalen Therapien, die zwischen 2014 und 2018 hergestellt wurden, aus den USA, verglichen mit nur einem Viertel aus Europa — eine signifikante Umkehrung gegenüber 25 Jahren zuvor. In 2002 gaben die USA 2 Milliarden Euro mehr als Europa für F&amp;E aus; heute beträgt diese Differenz 25 Milliarden Euro — ein Anstieg um 1.000 %. Von den gesamten F&amp;E-Investitionen in den USA, Europa, China und Japan entfallen nur noch 31 % auf Europa, stetig sinkend von 41 % in 2001. </w:t>
      </w:r>
      <w:hyperlink w:history="1" r:id="rIdytdd9neqyvznrkuadqwo4">
        <w:r>
          <w:rPr>
            <w:u w:val="single" w:color="1155CC"/>
            <w:color w:val="1155CC"/>
            <w:sz w:val="22"/>
            <w:szCs w:val="22"/>
            <w:rFonts w:ascii="Arial" w:cs="Arial" w:eastAsia="Arial" w:hAnsi="Arial"/>
          </w:rPr>
          <w:t xml:space="preserve">EFPIA Competitiveness Report</w:t>
        </w:r>
      </w:hyperlink>
    </w:p>
    <w:p>
      <w:pPr>
        <w:spacing w:before="160" w:after="80"/>
        <w:jc w:val="left"/>
      </w:pPr>
      <w:r>
        <w:rPr>
          <w:b/>
          <w:bCs/>
          <w:color w:val="1B2B4B"/>
          <w:sz w:val="23"/>
          <w:szCs w:val="23"/>
          <w:rFonts w:ascii="Arial" w:cs="Arial" w:eastAsia="Arial" w:hAnsi="Arial"/>
        </w:rPr>
        <w:t xml:space="preserve">3. Besondere Betroffenheit des deutschen Biotechsektors</w:t>
      </w:r>
    </w:p>
    <w:p>
      <w:pPr>
        <w:spacing w:after="140" w:line="276"/>
        <w:jc w:val="left"/>
      </w:pPr>
      <w:r>
        <w:rPr>
          <w:sz w:val="22"/>
          <w:szCs w:val="22"/>
          <w:rFonts w:ascii="Arial" w:cs="Arial" w:eastAsia="Arial" w:hAnsi="Arial"/>
        </w:rPr>
        <w:t xml:space="preserve">Bayerns 540 Biotech-Unternehmen, die 57.000 Mitarbeiter beschäftigen, sammelten im Jahr 2024 910 Millionen Euro ein — nahezu doppelt so viel wie im Vorjahr. Im Jahr 2023 überstiegen die deutschen Ausgaben für Arzneimittel mit Orphan-Designation erstmals 7 Milliarden Euro. Obwohl Orphan Drugs nur 0,07 % aller verordneten Tagesdosen ausmachen, entfallen auf sie inzwischen 13,5 % der GKV-Arzneimittelausgaben. </w:t>
      </w:r>
      <w:hyperlink w:history="1" r:id="rIddukf0ktzlj_biraizvks3">
        <w:r>
          <w:rPr>
            <w:u w:val="single" w:color="1155CC"/>
            <w:color w:val="1155CC"/>
            <w:sz w:val="22"/>
            <w:szCs w:val="22"/>
            <w:rFonts w:ascii="Arial" w:cs="Arial" w:eastAsia="Arial" w:hAnsi="Arial"/>
          </w:rPr>
          <w:t xml:space="preserve">Marktdaten Deutschland</w:t>
        </w:r>
      </w:hyperlink>
      <w:r>
        <w:rPr>
          <w:sz w:val="22"/>
          <w:szCs w:val="22"/>
          <w:rFonts w:ascii="Arial" w:cs="Arial" w:eastAsia="Arial" w:hAnsi="Arial"/>
        </w:rPr>
        <w:t xml:space="preserve"> Dies zeigt: Deutschland investiert massiv in Orphan-Therapien — und riskiert nun, die Rendite dieser Investitionen durch verkürzte Exklusivitätsfristen zu schmälern.</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2. POLITISCHE ZIELE</w:t>
      </w:r>
    </w:p>
    <w:p>
      <w:pPr>
        <w:spacing w:after="140" w:line="276"/>
        <w:jc w:val="left"/>
      </w:pPr>
      <w:r>
        <w:rPr>
          <w:b/>
          <w:bCs/>
          <w:sz w:val="22"/>
          <w:szCs w:val="22"/>
          <w:rFonts w:ascii="Arial" w:cs="Arial" w:eastAsia="Arial" w:hAnsi="Arial"/>
        </w:rPr>
        <w:t xml:space="preserve">Primäres Ziel (SMART):</w:t>
      </w:r>
      <w:r>
        <w:rPr>
          <w:sz w:val="22"/>
          <w:szCs w:val="22"/>
          <w:rFonts w:ascii="Arial" w:cs="Arial" w:eastAsia="Arial" w:hAnsi="Arial"/>
        </w:rPr>
        <w:t xml:space="preserve"> Die Bundesregierung setzt sich im Rat der EU bei der formalen Verabschiedung des Pharmapakets — voraussichtlich Herbst 2026 — aktiv für die Beibehaltung einer Basis-Marktexklusivität von 10 Jahren für Orphan-Arzneimittel ein und verhindert die Absenkung auf 9 Jahre.</w:t>
      </w:r>
    </w:p>
    <w:p>
      <w:pPr>
        <w:spacing w:before="160" w:after="80"/>
        <w:jc w:val="left"/>
      </w:pPr>
      <w:r>
        <w:rPr>
          <w:b/>
          <w:bCs/>
          <w:color w:val="1B2B4B"/>
          <w:sz w:val="23"/>
          <w:szCs w:val="23"/>
          <w:rFonts w:ascii="Arial" w:cs="Arial" w:eastAsia="Arial" w:hAnsi="Arial"/>
        </w:rPr>
        <w:t xml:space="preserve">Sekundäre Ziele:</w:t>
      </w:r>
    </w:p>
    <w:p>
      <w:pPr>
        <w:pStyle w:val="ListParagraph"/>
        <w:numPr>
          <w:ilvl w:val="0"/>
          <w:numId w:val="2"/>
        </w:numPr>
        <w:spacing w:after="100" w:line="276"/>
        <w:ind w:left="720" w:hanging="360"/>
        <w:jc w:val="left"/>
      </w:pPr>
      <w:r>
        <w:rPr>
          <w:sz w:val="22"/>
          <w:szCs w:val="22"/>
          <w:rFonts w:ascii="Arial" w:cs="Arial" w:eastAsia="Arial" w:hAnsi="Arial"/>
        </w:rPr>
        <w:t xml:space="preserve">Einführung eines ergänzenden nationalen Förderprogramms für KMU im Bereich Orphan-Drug-Entwicklung bis Ende 2027.</w:t>
      </w:r>
    </w:p>
    <w:p>
      <w:pPr>
        <w:pStyle w:val="ListParagraph"/>
        <w:numPr>
          <w:ilvl w:val="0"/>
          <w:numId w:val="2"/>
        </w:numPr>
        <w:spacing w:after="100" w:line="276"/>
        <w:ind w:left="720" w:hanging="360"/>
        <w:jc w:val="left"/>
      </w:pPr>
      <w:r>
        <w:rPr>
          <w:sz w:val="22"/>
          <w:szCs w:val="22"/>
          <w:rFonts w:ascii="Arial" w:cs="Arial" w:eastAsia="Arial" w:hAnsi="Arial"/>
        </w:rPr>
        <w:t xml:space="preserve">Stärkung des deutschen Standortvorteils durch die Nutzung der im Medizinforschungsgesetz (MFG) 2024 geschaffenen Instrumente — insbesondere der vertraulichen Erstattungspreise und der F&amp;E-Standortanreize — als Hebel zur Bindung von Orphan-Drug-Innovatoren.</w:t>
      </w:r>
    </w:p>
    <w:p>
      <w:pPr>
        <w:pStyle w:val="ListParagraph"/>
        <w:numPr>
          <w:ilvl w:val="0"/>
          <w:numId w:val="2"/>
        </w:numPr>
        <w:spacing w:after="100" w:line="276"/>
        <w:ind w:left="720" w:hanging="360"/>
        <w:jc w:val="left"/>
      </w:pPr>
      <w:r>
        <w:rPr>
          <w:sz w:val="22"/>
          <w:szCs w:val="22"/>
          <w:rFonts w:ascii="Arial" w:cs="Arial" w:eastAsia="Arial" w:hAnsi="Arial"/>
        </w:rPr>
        <w:t xml:space="preserve">Sicherstellung, dass die Transpositions- und Übergangsregelungen des Pharmapakets laufende Entwicklungsprogramme nicht rückwirkend beeinträchtigen.</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3. INTERNATIONALER VERGLEICH</w:t>
      </w:r>
    </w:p>
    <w:p>
      <w:pPr>
        <w:pStyle w:val="Heading3"/>
        <w:spacing w:before="160" w:after="80"/>
        <w:jc w:val="left"/>
      </w:pPr>
      <w:r>
        <w:rPr>
          <w:b/>
          <w:bCs/>
          <w:color w:val="1B2B4B"/>
          <w:sz w:val="23"/>
          <w:szCs w:val="23"/>
          <w:rFonts w:ascii="Arial" w:cs="Arial" w:eastAsia="Arial" w:hAnsi="Arial"/>
        </w:rPr>
        <w:t xml:space="preserve">Vergleichstabelle: Orphan-Drug-Exklusivität in sechs Jurisdiktionen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6"/>
        <w:gridCol w:w="1606"/>
        <w:gridCol w:w="1606"/>
        <w:gridCol w:w="1606"/>
        <w:gridCol w:w="1606"/>
        <w:gridCol w:w="1608"/>
      </w:tblGrid>
      <w:tr>
        <w:trPr>
          <w:tblHeader/>
        </w:trPr>
        <w:tc>
          <w:tcPr>
            <w:tcW w:type="dxa" w:w="1606"/>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Land / Jurisdiktion</w:t>
            </w:r>
          </w:p>
        </w:tc>
        <w:tc>
          <w:tcPr>
            <w:tcW w:type="dxa" w:w="1606"/>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Instrument</w:t>
            </w:r>
          </w:p>
        </w:tc>
        <w:tc>
          <w:tcPr>
            <w:tcW w:type="dxa" w:w="1606"/>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Exklusivitätsfrist</w:t>
            </w:r>
          </w:p>
        </w:tc>
        <w:tc>
          <w:tcPr>
            <w:tcW w:type="dxa" w:w="1606"/>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Schlüsselanreize</w:t>
            </w:r>
          </w:p>
        </w:tc>
        <w:tc>
          <w:tcPr>
            <w:tcW w:type="dxa" w:w="1606"/>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Mechanismus</w:t>
            </w:r>
          </w:p>
        </w:tc>
        <w:tc>
          <w:tcPr>
            <w:tcW w:type="dxa" w:w="1608"/>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Quelle</w:t>
            </w:r>
          </w:p>
        </w:tc>
      </w:tr>
      <w:tr>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EU (aktuell)</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Verordnung (EG) Nr. 141/2000</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10 Jahre (+ 2 Jahre pädiatrisch)</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Marktexklusivität, Gebührenbefreiung, Protokollhilfe</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Kein ähnliches Produkt für gleiche Indikation zugelassen</w:t>
            </w:r>
          </w:p>
        </w:tc>
        <w:tc>
          <w:tcPr>
            <w:tcW w:type="dxa" w:w="1608"/>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hyperlink w:history="1" r:id="rIdxgwox0beew1e4k3khh6vz">
              <w:r>
                <w:rPr>
                  <w:u w:val="single" w:color="1155CC"/>
                  <w:color w:val="1155CC"/>
                  <w:sz w:val="19"/>
                  <w:szCs w:val="19"/>
                  <w:rFonts w:ascii="Arial" w:cs="Arial" w:eastAsia="Arial" w:hAnsi="Arial"/>
                </w:rPr>
                <w:t xml:space="preserve">EMA</w:t>
              </w:r>
            </w:hyperlink>
          </w:p>
        </w:tc>
      </w:tr>
      <w:tr>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EU (Pharmapaket 2026)</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Neues Pharmapaket</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9 Jahre Basis / 11 Jahre Breakthrough</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Tiered system, GOMA-Konzept, Bolar-Erweiterung</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Gestaffelt nach klinischem Profil; Verlängerung an Lieferung geknüpft</w:t>
            </w:r>
          </w:p>
        </w:tc>
        <w:tc>
          <w:tcPr>
            <w:tcW w:type="dxa" w:w="1608"/>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hyperlink w:history="1" r:id="rIdazyxpqmo85ugp7imehfjx">
              <w:r>
                <w:rPr>
                  <w:u w:val="single" w:color="1155CC"/>
                  <w:color w:val="1155CC"/>
                  <w:sz w:val="19"/>
                  <w:szCs w:val="19"/>
                  <w:rFonts w:ascii="Arial" w:cs="Arial" w:eastAsia="Arial" w:hAnsi="Arial"/>
                </w:rPr>
                <w:t xml:space="preserve">EU Council</w:t>
              </w:r>
            </w:hyperlink>
          </w:p>
        </w:tc>
      </w:tr>
      <w:tr>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USA</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Orphan Drug Act 1983</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7 Jahre</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Steuergutschrift (25 % klinische Kosten), Gebührenbefreiung, Grants</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Keine Zulassung identischer Produkte für gleiche Indikation</w:t>
            </w:r>
          </w:p>
        </w:tc>
        <w:tc>
          <w:tcPr>
            <w:tcW w:type="dxa" w:w="1608"/>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hyperlink w:history="1" r:id="rIdg47tynck8rrmgk7sq0nby">
              <w:r>
                <w:rPr>
                  <w:u w:val="single" w:color="1155CC"/>
                  <w:color w:val="1155CC"/>
                  <w:sz w:val="19"/>
                  <w:szCs w:val="19"/>
                  <w:rFonts w:ascii="Arial" w:cs="Arial" w:eastAsia="Arial" w:hAnsi="Arial"/>
                </w:rPr>
                <w:t xml:space="preserve">FDA / NIH</w:t>
              </w:r>
            </w:hyperlink>
          </w:p>
        </w:tc>
      </w:tr>
      <w:tr>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Japan</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Pharmaceutical Affairs Law (seit 1993)</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10 Jahre Re-examination Period</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Zuschüsse (bis 50 % der F&amp;E-Kosten), beschleunigte Prüfung (9 Monate), Preisaufschlag</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Verlängerte Datenexklusivität, Preisprämie im NHI-System</w:t>
            </w:r>
          </w:p>
        </w:tc>
        <w:tc>
          <w:tcPr>
            <w:tcW w:type="dxa" w:w="1608"/>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hyperlink w:history="1" r:id="rIdjxe8qrwb0602jixphpmhg">
              <w:r>
                <w:rPr>
                  <w:u w:val="single" w:color="1155CC"/>
                  <w:color w:val="1155CC"/>
                  <w:sz w:val="19"/>
                  <w:szCs w:val="19"/>
                  <w:rFonts w:ascii="Arial" w:cs="Arial" w:eastAsia="Arial" w:hAnsi="Arial"/>
                </w:rPr>
                <w:t xml:space="preserve">MHLW</w:t>
              </w:r>
            </w:hyperlink>
          </w:p>
        </w:tc>
      </w:tr>
      <w:tr>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Vereinigtes Königreich</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UK Orphan Designation (post-Brexit, MHRA)</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10 Jahre (Übernahme EU-Rahmen)</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Gebührenbefreiung, Protokollhilfe</w:t>
            </w:r>
          </w:p>
        </w:tc>
        <w:tc>
          <w:tcPr>
            <w:tcW w:type="dxa" w:w="1606"/>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Ähnlich EU-System; eigenes MHRA-Verfahren</w:t>
            </w:r>
          </w:p>
        </w:tc>
        <w:tc>
          <w:tcPr>
            <w:tcW w:type="dxa" w:w="1608"/>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hyperlink w:history="1" r:id="rIdwxcrmbq4ypbuog2eqbaqu">
              <w:r>
                <w:rPr>
                  <w:u w:val="single" w:color="1155CC"/>
                  <w:color w:val="1155CC"/>
                  <w:sz w:val="19"/>
                  <w:szCs w:val="19"/>
                  <w:rFonts w:ascii="Arial" w:cs="Arial" w:eastAsia="Arial" w:hAnsi="Arial"/>
                </w:rPr>
                <w:t xml:space="preserve">Somerville Partners</w:t>
              </w:r>
            </w:hyperlink>
          </w:p>
        </w:tc>
      </w:tr>
      <w:tr>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Südkorea</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Orphan Drug Designation (MFDS)</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6 Jahre</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Beschleunigte Prüfung, Steuervergünstigungen</w:t>
            </w:r>
          </w:p>
        </w:tc>
        <w:tc>
          <w:tcPr>
            <w:tcW w:type="dxa" w:w="1606"/>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Staatliche F&amp;E-Zuschüsse</w:t>
            </w:r>
          </w:p>
        </w:tc>
        <w:tc>
          <w:tcPr>
            <w:tcW w:type="dxa" w:w="1608"/>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Gemäß verfügbarer Information</w:t>
            </w:r>
          </w:p>
        </w:tc>
      </w:tr>
    </w:tbl>
    <w:p>
      <w:pPr>
        <w:spacing w:after="80" w:line="240"/>
        <w:jc w:val="left"/>
      </w:pPr>
      <w:r>
        <w:rPr>
          <w:sz w:val="22"/>
          <w:szCs w:val="22"/>
          <w:rFonts w:ascii="Arial" w:cs="Arial" w:eastAsia="Arial" w:hAnsi="Arial"/>
        </w:rPr>
      </w:r>
    </w:p>
    <w:p>
      <w:pPr>
        <w:pStyle w:val="Heading3"/>
        <w:spacing w:before="160" w:after="80"/>
        <w:jc w:val="left"/>
      </w:pPr>
      <w:r>
        <w:rPr>
          <w:b/>
          <w:bCs/>
          <w:color w:val="1B2B4B"/>
          <w:sz w:val="23"/>
          <w:szCs w:val="23"/>
          <w:rFonts w:ascii="Arial" w:cs="Arial" w:eastAsia="Arial" w:hAnsi="Arial"/>
        </w:rPr>
        <w:t xml:space="preserve">Analyse</w:t>
      </w:r>
    </w:p>
    <w:p>
      <w:pPr>
        <w:spacing w:after="140" w:line="276"/>
        <w:jc w:val="left"/>
      </w:pPr>
      <w:r>
        <w:rPr>
          <w:sz w:val="22"/>
          <w:szCs w:val="22"/>
          <w:rFonts w:ascii="Arial" w:cs="Arial" w:eastAsia="Arial" w:hAnsi="Arial"/>
        </w:rPr>
        <w:t xml:space="preserve">Der internationale Vergleich zeigt zwei wesentliche Erkenntnisse:</w:t>
      </w:r>
    </w:p>
    <w:p>
      <w:pPr>
        <w:spacing w:after="140" w:line="276"/>
        <w:jc w:val="left"/>
      </w:pPr>
      <w:r>
        <w:rPr>
          <w:b/>
          <w:bCs/>
          <w:sz w:val="22"/>
          <w:szCs w:val="22"/>
          <w:rFonts w:ascii="Arial" w:cs="Arial" w:eastAsia="Arial" w:hAnsi="Arial"/>
        </w:rPr>
        <w:t xml:space="preserve">Erstens:</w:t>
      </w:r>
      <w:r>
        <w:rPr>
          <w:sz w:val="22"/>
          <w:szCs w:val="22"/>
          <w:rFonts w:ascii="Arial" w:cs="Arial" w:eastAsia="Arial" w:hAnsi="Arial"/>
        </w:rPr>
        <w:t xml:space="preserve"> Die Exklusivitätsfrist — sieben Jahre in den USA unter dem Orphan Drug Act von 1983 und zehn Jahre in der EU gemäß der Orphan-Verordnung von 2000 — verschafft den Unternehmen einen entscheidenden Marktvorteil, der die Amortisation der Kosten für Forschung, Entwicklung und Vermarktung ermöglicht. Obwohl die USA nominell nur 7 Jahre Exklusivität bieten, kompensieren sie dies durch eine Kombination aus Steuergutschriften, Forschungszuschüssen (bis zu 22 Millionen USD jährlich durch OOPD-Programme) und einem grundsätzlich höheren Preisniveau. In den USA beträgt die Marktexklusivitätsfrist 7 Jahre, die um 6 Monate für pädiatrische Indikationen verlängert werden kann. In der Praxis übersteigt die effektive Schutzperiode in den USA die europäische Frist häufig, weil Patentschutz und orphan exclusivity kumuliert werden.</w:t>
      </w:r>
    </w:p>
    <w:p>
      <w:pPr>
        <w:spacing w:after="140" w:line="276"/>
        <w:jc w:val="left"/>
      </w:pPr>
      <w:r>
        <w:rPr>
          <w:b/>
          <w:bCs/>
          <w:sz w:val="22"/>
          <w:szCs w:val="22"/>
          <w:rFonts w:ascii="Arial" w:cs="Arial" w:eastAsia="Arial" w:hAnsi="Arial"/>
        </w:rPr>
        <w:t xml:space="preserve">Zweitens:</w:t>
      </w:r>
      <w:r>
        <w:rPr>
          <w:sz w:val="22"/>
          <w:szCs w:val="22"/>
          <w:rFonts w:ascii="Arial" w:cs="Arial" w:eastAsia="Arial" w:hAnsi="Arial"/>
        </w:rPr>
        <w:t xml:space="preserve"> Europäische Biotechunternehmen, die Orphan-Arzneimittel entwickeln, priorisieren häufig den US-Markt. Bis heute hat die Europäische Kommission mehr als 200 Orphan-Arzneimittel zugelassen, während die FDA im Zeitraum 1983–2022 882 Orphan Drugs für 392 seltene Erkrankungen zugelassen hat. Diese Diskrepanz belegt, dass die EU bereits heute weniger attraktiv für Orphan-Drug-Entwickler ist. In Japan erhalten Orphan Drugs 10 Jahre Marktexklusivität (gegenüber 8 Jahren für andere neue Arzneimittel), ergänzt durch beschleunigte Prüfverfahren und öffentliche Zuschüsse von bis zu 50 % der Entwicklungskosten. </w:t>
      </w:r>
      <w:hyperlink w:history="1" r:id="rId4oiwyyc6rfyzv51nz2edn">
        <w:r>
          <w:rPr>
            <w:u w:val="single" w:color="1155CC"/>
            <w:color w:val="1155CC"/>
            <w:sz w:val="22"/>
            <w:szCs w:val="22"/>
            <w:rFonts w:ascii="Arial" w:cs="Arial" w:eastAsia="Arial" w:hAnsi="Arial"/>
          </w:rPr>
          <w:t xml:space="preserve">PMDA Japan</w:t>
        </w:r>
      </w:hyperlink>
    </w:p>
    <w:p>
      <w:pPr>
        <w:spacing w:after="140" w:line="276"/>
        <w:jc w:val="left"/>
      </w:pPr>
      <w:r>
        <w:rPr>
          <w:sz w:val="22"/>
          <w:szCs w:val="22"/>
          <w:rFonts w:ascii="Arial" w:cs="Arial" w:eastAsia="Arial" w:hAnsi="Arial"/>
        </w:rPr>
        <w:t xml:space="preserve">Die EU war bislang der einzige Großmarkt mit einer 10-Jahres-Basisexklusivität ohne gleichzeitige substantielle fiskalische Anreize wie in den USA (Steuergutschriften) oder Japan (direkte Forschungssubventionen). Die EU bietet die längste Marktexklusivitätsfrist unter den großen globalen Regulierungsbehörden, was sie für Unternehmen attraktiv macht, Produkte auf den Markt zu bringen. Eine Kürzung dieser Frist — ohne gleichzeitige Einführung kompensatorischer Maßnahmen — verschiebt das Gleichgewicht weiter zugunsten der USA.</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4. ANALYSE DER POLITISCHEN OPTIONEN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927"/>
        <w:gridCol w:w="1927"/>
        <w:gridCol w:w="1927"/>
        <w:gridCol w:w="1927"/>
        <w:gridCol w:w="1930"/>
      </w:tblGrid>
      <w:tr>
        <w:trPr>
          <w:tblHeader/>
        </w:trPr>
        <w:tc>
          <w:tcPr>
            <w:tcW w:type="dxa" w:w="1927"/>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Option</w:t>
            </w:r>
          </w:p>
        </w:tc>
        <w:tc>
          <w:tcPr>
            <w:tcW w:type="dxa" w:w="1927"/>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Beschreibung</w:t>
            </w:r>
          </w:p>
        </w:tc>
        <w:tc>
          <w:tcPr>
            <w:tcW w:type="dxa" w:w="1927"/>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Vorteile</w:t>
            </w:r>
          </w:p>
        </w:tc>
        <w:tc>
          <w:tcPr>
            <w:tcW w:type="dxa" w:w="1927"/>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Nachteile</w:t>
            </w:r>
          </w:p>
        </w:tc>
        <w:tc>
          <w:tcPr>
            <w:tcW w:type="dxa" w:w="1930"/>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Zeitrahmen / Kosten</w:t>
            </w:r>
          </w:p>
        </w:tc>
      </w:tr>
      <w:tr>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Option A: Status quo (9 Jahre, wie vereinbart)</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Inkrafttreten des Pharmapakets ohne deutsche Intervention zum Exklusivitätszeitraum</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Schnelle Umsetzung; Konsistenz mit Trilog-Ergebnis</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Struktureller Nachteil für KMU; Investitionsabwanderung; 12 % weniger Orphan-Innovationen (EFPIA/Dolon)</w:t>
            </w:r>
          </w:p>
        </w:tc>
        <w:tc>
          <w:tcPr>
            <w:tcW w:type="dxa" w:w="1930"/>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Verabschiedung Herbst 2026; Anwendung ab ca. 2028</w:t>
            </w:r>
          </w:p>
        </w:tc>
      </w:tr>
      <w:tr>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Option B: Deutschland drängt auf 10 Jahre Basisexklusivität im Rat</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Aktive Positionierung Deutschlands im formalen Abstimmungsverfahren des Rats für 10-Jahres-Basis (wie vom Rat in seiner Position vom Juni 2025 vorgeschlagen)</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Schützt bestehende Innovationsanreize; Stärkt Standort Deutschland; Konsistent mit der Ratsposition von 2025</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Erfordert Koalitionsbildung mit anderen Mitgliedstaaten; könnte Verabschiedung verzögern</w:t>
            </w:r>
          </w:p>
        </w:tc>
        <w:tc>
          <w:tcPr>
            <w:tcW w:type="dxa" w:w="1930"/>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Verhandlungsfenster: bis formale Verabschiedung (Herbst 2026); keine zusätzlichen Fiskalkosten</w:t>
            </w:r>
          </w:p>
        </w:tc>
      </w:tr>
      <w:tr>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Option C: 9 Jahre + nationale Kompensationsmaßnahmen</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Akzeptanz der 9-Jahres-Frist, aber Einführung nationaler Begleitmaßnahmen (KMU-Förderung, beschleunigte AMNOG-Verfahren, vertrauliche Erstattungspreise)</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Pragmatisch; national steuerbar; kompatibel mit EU-Recht</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Kompensiert den Exklusivitätsverlust nicht vollständig; asymmetrisch gegenüber anderen Mitgliedstaaten</w:t>
            </w:r>
          </w:p>
        </w:tc>
        <w:tc>
          <w:tcPr>
            <w:tcW w:type="dxa" w:w="1930"/>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12–18 Monate Gesetzgebungsverfahren; moderate Kosten (geschätzt 50–100 Mio. Euro/Jahr Fördermittel)</w:t>
            </w:r>
          </w:p>
        </w:tc>
      </w:tr>
      <w:tr>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Option D: Option B + Option C kombiniert</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Doppelstrategie: EU-Ebene Verhandlung für 10 Jahre + nationale Flankierung unabhängig vom EU-Ergebnis</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Maximiert Schutz; Signalwirkung für Investoren; Stärkt Deutschland sowohl auf EU- als auch auf nationaler Ebene</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Höchster politischer Aufwand; erfordert Koordination zwischen BMG, BMWi und AA</w:t>
            </w:r>
          </w:p>
        </w:tc>
        <w:tc>
          <w:tcPr>
            <w:tcW w:type="dxa" w:w="1930"/>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Parallel: EU-Zeitplan + nationales Gesetz bis 2027</w:t>
            </w:r>
          </w:p>
        </w:tc>
      </w:tr>
    </w:tbl>
    <w:p>
      <w:pPr>
        <w:spacing w:after="80" w:line="240"/>
        <w:jc w:val="left"/>
      </w:pPr>
      <w:r>
        <w:rPr>
          <w:sz w:val="22"/>
          <w:szCs w:val="22"/>
          <w:rFonts w:ascii="Arial" w:cs="Arial" w:eastAsia="Arial" w:hAnsi="Arial"/>
        </w:rPr>
      </w:r>
    </w:p>
    <w:p>
      <w:pPr>
        <w:spacing w:after="140" w:line="276"/>
        <w:jc w:val="left"/>
      </w:pPr>
      <w:r>
        <w:rPr>
          <w:b/>
          <w:bCs/>
          <w:sz w:val="22"/>
          <w:szCs w:val="22"/>
          <w:rFonts w:ascii="Arial" w:cs="Arial" w:eastAsia="Arial" w:hAnsi="Arial"/>
        </w:rPr>
        <w:t xml:space="preserve">Bewertung:</w:t>
      </w:r>
      <w:r>
        <w:rPr>
          <w:sz w:val="22"/>
          <w:szCs w:val="22"/>
          <w:rFonts w:ascii="Arial" w:cs="Arial" w:eastAsia="Arial" w:hAnsi="Arial"/>
        </w:rPr>
        <w:t xml:space="preserve"> Die kombinierte Option D bietet den stärksten Schutz für Patienten und Industrie. Sollte die 10-Jahres-Frist auf EU-Ebene nicht durchsetzbar sein, gewährleisten die nationalen Maßnahmen dennoch einen Standortvorteil. Der Rat hatte in seiner Position vom Juni 2025 selbst 10 Jahre Orphan-Marktexklusivität vorgeschlagen — dasselbe wie nach geltendem Recht, aber mehr als die 9 Jahre, die von der Kommission und dem Parlament vorgeschlagen wurden. </w:t>
      </w:r>
      <w:hyperlink w:history="1" r:id="rIdzeug0gszfkwcnwehczlxb">
        <w:r>
          <w:rPr>
            <w:u w:val="single" w:color="1155CC"/>
            <w:color w:val="1155CC"/>
            <w:sz w:val="22"/>
            <w:szCs w:val="22"/>
            <w:rFonts w:ascii="Arial" w:cs="Arial" w:eastAsia="Arial" w:hAnsi="Arial"/>
          </w:rPr>
          <w:t xml:space="preserve">Hogan Lovells EU Pharma Analysis</w:t>
        </w:r>
      </w:hyperlink>
      <w:r>
        <w:rPr>
          <w:sz w:val="22"/>
          <w:szCs w:val="22"/>
          <w:rFonts w:ascii="Arial" w:cs="Arial" w:eastAsia="Arial" w:hAnsi="Arial"/>
        </w:rPr>
        <w:t xml:space="preserve"> Dies zeigt: Es existiert bereits eine substantielle Verhandlungsgrundlage für die Beibehaltung der 10 Jahre.</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5. KOSTEN DER UNTÄTIGKEIT</w:t>
      </w:r>
    </w:p>
    <w:p>
      <w:pPr>
        <w:spacing w:after="140" w:line="276"/>
        <w:jc w:val="left"/>
      </w:pPr>
      <w:r>
        <w:rPr>
          <w:sz w:val="22"/>
          <w:szCs w:val="22"/>
          <w:rFonts w:ascii="Arial" w:cs="Arial" w:eastAsia="Arial" w:hAnsi="Arial"/>
        </w:rPr>
        <w:t xml:space="preserve">Die Konsequenzen des Nichthandelns sind quantifizierbar und gravierend:</w:t>
      </w:r>
    </w:p>
    <w:p>
      <w:pPr>
        <w:spacing w:before="160" w:after="80"/>
        <w:jc w:val="left"/>
      </w:pPr>
      <w:r>
        <w:rPr>
          <w:b/>
          <w:bCs/>
          <w:color w:val="1B2B4B"/>
          <w:sz w:val="23"/>
          <w:szCs w:val="23"/>
          <w:rFonts w:ascii="Arial" w:cs="Arial" w:eastAsia="Arial" w:hAnsi="Arial"/>
        </w:rPr>
        <w:t xml:space="preserve">Für Patienten mit seltenen Erkrankungen:</w:t>
      </w:r>
    </w:p>
    <w:p>
      <w:pPr>
        <w:spacing w:after="140" w:line="276"/>
        <w:jc w:val="left"/>
      </w:pPr>
      <w:r>
        <w:rPr>
          <w:sz w:val="22"/>
          <w:szCs w:val="22"/>
          <w:rFonts w:ascii="Arial" w:cs="Arial" w:eastAsia="Arial" w:hAnsi="Arial"/>
        </w:rPr>
        <w:t xml:space="preserve">Die 30 Millionen Menschen, die in Europa mit einer seltenen Erkrankung leben, haben nach wie vor ein hohes Maß an unerfüllten Bedürfnissen — sie warten Jahre auf eine Diagnose, erleben eine unkoordinierte Versorgung und einen Mangel an Behandlungsmöglichkeiten. Rund 95 % der seltenen Erkrankungen haben heute keine zugelassene Behandlung. Jedes abgebrochene oder nicht begonnene Orphan-Drug-Entwicklungsprogramm bedeutet, dass Patienten ohne Therapie bleiben. Eine Studie von 2022 schätzte die gesamten wirtschaftlichen Kosten seltener Erkrankungen allein in den USA auf nahezu 1 Billion USD pro Jahr (für nur 379 analysierte Krankheiten), einschließlich direkter medizinischer Kosten (~449 Mrd. USD) und indirekter Kosten wie Produktivitätsverluste (~548 Mrd. USD).</w:t>
      </w:r>
    </w:p>
    <w:p>
      <w:pPr>
        <w:spacing w:before="160" w:after="80"/>
        <w:jc w:val="left"/>
      </w:pPr>
      <w:r>
        <w:rPr>
          <w:b/>
          <w:bCs/>
          <w:color w:val="1B2B4B"/>
          <w:sz w:val="23"/>
          <w:szCs w:val="23"/>
          <w:rFonts w:ascii="Arial" w:cs="Arial" w:eastAsia="Arial" w:hAnsi="Arial"/>
        </w:rPr>
        <w:t xml:space="preserve">Für den deutschen Biotech-Standort:</w:t>
      </w:r>
    </w:p>
    <w:p>
      <w:pPr>
        <w:spacing w:after="140" w:line="276"/>
        <w:jc w:val="left"/>
      </w:pPr>
      <w:r>
        <w:rPr>
          <w:sz w:val="22"/>
          <w:szCs w:val="22"/>
          <w:rFonts w:ascii="Arial" w:cs="Arial" w:eastAsia="Arial" w:hAnsi="Arial"/>
        </w:rPr>
        <w:t xml:space="preserve">EFPIA hat eine neue Bewertung veröffentlicht, die zu dem Schluss kommt, dass die Vorschläge den bestehenden Trend beschleunigen würden. Die wissenschaftliche Basis in fast allen Mitgliedstaaten wäre betroffen, wobei Deutschland am stärksten getroffen würde — mit einem Verlust von rund 626 Millionen Euro pro Jahr. Belgien würde F&amp;E-Projekte im Wert von 381 Millionen Euro verlieren, Frankreich 326 Millionen Euro. Europas Anteil an den globalen F&amp;E-Investitionen droht von 32 % auf 21 % bis 2040 zu fallen — das entspricht einem Verlust von 2 Milliarden Euro an F&amp;E-Investitionen pro Jahr. Insgesamt wäre eines von fünf Arzneimittelentwicklungsprogrammen in Europa wirtschaftlich nicht mehr tragfähig. </w:t>
      </w:r>
      <w:hyperlink w:history="1" r:id="rIdtxwqmiadhmmpq2tx2k2bk">
        <w:r>
          <w:rPr>
            <w:u w:val="single" w:color="1155CC"/>
            <w:color w:val="1155CC"/>
            <w:sz w:val="22"/>
            <w:szCs w:val="22"/>
            <w:rFonts w:ascii="Arial" w:cs="Arial" w:eastAsia="Arial" w:hAnsi="Arial"/>
          </w:rPr>
          <w:t xml:space="preserve">Science|Business Report</w:t>
        </w:r>
      </w:hyperlink>
    </w:p>
    <w:p>
      <w:pPr>
        <w:spacing w:before="160" w:after="80"/>
        <w:jc w:val="left"/>
      </w:pPr>
      <w:r>
        <w:rPr>
          <w:b/>
          <w:bCs/>
          <w:color w:val="1B2B4B"/>
          <w:sz w:val="23"/>
          <w:szCs w:val="23"/>
          <w:rFonts w:ascii="Arial" w:cs="Arial" w:eastAsia="Arial" w:hAnsi="Arial"/>
        </w:rPr>
        <w:t xml:space="preserve">Für die europäische Wettbewerbsfähigkeit:</w:t>
      </w:r>
    </w:p>
    <w:p>
      <w:pPr>
        <w:spacing w:after="140" w:line="276"/>
        <w:jc w:val="left"/>
      </w:pPr>
      <w:r>
        <w:rPr>
          <w:sz w:val="22"/>
          <w:szCs w:val="22"/>
          <w:rFonts w:ascii="Arial" w:cs="Arial" w:eastAsia="Arial" w:hAnsi="Arial"/>
        </w:rPr>
        <w:t xml:space="preserve">Zymewires 2024 Biopharma Recap Report stellte fest: Während nordamerikanische Biopharma-Unternehmen einen Anstieg von 1,2 % und der APAC-Raum einen Anstieg von 55,3 % verzeichneten, erlebte Europa einen Rückgang der Finanzierung um 25,4 %. Europas Anteil an globalen klinischen Studien, die von Pharmaunternehmen gesponsert werden, fiel laut EFPIA/Vaccines Europe von 22 % im Jahr 2013 auf 12 % im Jahr 2023.</w:t>
      </w:r>
    </w:p>
    <w:p>
      <w:pPr>
        <w:spacing w:after="140" w:line="276"/>
        <w:jc w:val="left"/>
      </w:pPr>
      <w:r>
        <w:rPr>
          <w:sz w:val="22"/>
          <w:szCs w:val="22"/>
          <w:rFonts w:ascii="Arial" w:cs="Arial" w:eastAsia="Arial" w:hAnsi="Arial"/>
        </w:rPr>
        <w:t xml:space="preserve">Die Entscheidung, die jetzt getroffen wird, hat eine Wirkungsdauer von 20–30 Jahren. Wie EuropaBio-Direktorin Claire Skentelbery betonte, „wird die Revision der Orphan-Verordnung das regulatorische Umfeld für die Orphan-Drug-Entwicklung in Europa für die nächsten 25 bis 30 Jahre prägen."</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6. EMPFOHLENE OPTION UND UMSETZUNG</w:t>
      </w:r>
    </w:p>
    <w:p>
      <w:pPr>
        <w:spacing w:before="160" w:after="80"/>
        <w:jc w:val="left"/>
      </w:pPr>
      <w:r>
        <w:rPr>
          <w:b/>
          <w:bCs/>
          <w:color w:val="1B2B4B"/>
          <w:sz w:val="23"/>
          <w:szCs w:val="23"/>
          <w:rFonts w:ascii="Arial" w:cs="Arial" w:eastAsia="Arial" w:hAnsi="Arial"/>
        </w:rPr>
        <w:t xml:space="preserve">Empfehlung: Option D — Doppelstrategie auf EU- und nationaler Ebene</w:t>
      </w:r>
    </w:p>
    <w:p>
      <w:pPr>
        <w:spacing w:after="140" w:line="276"/>
        <w:jc w:val="left"/>
      </w:pPr>
      <w:r>
        <w:rPr>
          <w:sz w:val="22"/>
          <w:szCs w:val="22"/>
          <w:rFonts w:ascii="Arial" w:cs="Arial" w:eastAsia="Arial" w:hAnsi="Arial"/>
        </w:rPr>
        <w:t xml:space="preserve">Die Bundesregierung sollte unverzüglich eine Doppelstrategie verfolgen:</w:t>
      </w:r>
    </w:p>
    <w:p>
      <w:pPr>
        <w:pStyle w:val="Heading3"/>
        <w:spacing w:before="160" w:after="80"/>
        <w:jc w:val="left"/>
      </w:pPr>
      <w:r>
        <w:rPr>
          <w:b/>
          <w:bCs/>
          <w:color w:val="1B2B4B"/>
          <w:sz w:val="23"/>
          <w:szCs w:val="23"/>
          <w:rFonts w:ascii="Arial" w:cs="Arial" w:eastAsia="Arial" w:hAnsi="Arial"/>
        </w:rPr>
        <w:t xml:space="preserve">Umsetzungsplan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11"/>
      </w:tblGrid>
      <w:tr>
        <w:trPr>
          <w:tblHeader/>
        </w:trPr>
        <w:tc>
          <w:tcPr>
            <w:tcW w:type="dxa" w:w="2409"/>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Phase</w:t>
            </w:r>
          </w:p>
        </w:tc>
        <w:tc>
          <w:tcPr>
            <w:tcW w:type="dxa" w:w="2409"/>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Schlüsselmaßnahmen</w:t>
            </w:r>
          </w:p>
        </w:tc>
        <w:tc>
          <w:tcPr>
            <w:tcW w:type="dxa" w:w="2409"/>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Zuständiger Akteur</w:t>
            </w:r>
          </w:p>
        </w:tc>
        <w:tc>
          <w:tcPr>
            <w:tcW w:type="dxa" w:w="2411"/>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Zeitrahmen</w:t>
            </w:r>
          </w:p>
        </w:tc>
      </w:tr>
      <w:tr>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Phase 1: EU-Verhandlung</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Formale Position Deutschlands im Rat für 10-Jahres-Basisexklusivität; Koalitionsbildung mit gleichgesinnten Mitgliedstaaten (insb. Frankreich, Schweden, Dänemark, Niederlande); Briefing der Ständigen Vertretung</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BMG, AA, Ständige Vertretung Brüssel</w:t>
            </w:r>
          </w:p>
        </w:tc>
        <w:tc>
          <w:tcPr>
            <w:tcW w:type="dxa" w:w="2411"/>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April – September 2026</w:t>
            </w:r>
          </w:p>
        </w:tc>
      </w:tr>
      <w:tr>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Phase 2: Nationale Rahmengesetzgebung</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Entwurf eines „Orphan-Drug-Innovations-Stärkungsgesetzes": Förderprogramm für KMU (50 Mio. Euro/Jahr), beschleunigte AMNOG-Bewertung für Ultra-Orphans (≤1:50.000 Prävalenz), Ausbau der vertraulichen Erstattungspreise (MFG 2024)</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BMG, G-BA, BMBF</w:t>
            </w:r>
          </w:p>
        </w:tc>
        <w:tc>
          <w:tcPr>
            <w:tcW w:type="dxa" w:w="2411"/>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Q3 2026 – Q2 2027</w:t>
            </w:r>
          </w:p>
        </w:tc>
      </w:tr>
      <w:tr>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Phase 3: Transpositionsphase</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Sicherstellung, dass die nationale Umsetzung der EU-Richtlinie bestehende Pipeline-Programme schützt; Übergangsregelungen für Orphan-Arzneimittel in Entwicklung</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BMG, BfArM, Paul-Ehrlich-Institut</w:t>
            </w:r>
          </w:p>
        </w:tc>
        <w:tc>
          <w:tcPr>
            <w:tcW w:type="dxa" w:w="2411"/>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2027–2028</w:t>
            </w:r>
          </w:p>
        </w:tc>
      </w:tr>
      <w:tr>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Phase 4: Monitoring &amp; Evaluation</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Jährlicher Bericht an den Gesundheitsausschuss über Auswirkungen auf Orphan-Drug-Zulassungen, F&amp;E-Investitionen und Patientenversorgung in Deutschland</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BMG, G-BA</w:t>
            </w:r>
          </w:p>
        </w:tc>
        <w:tc>
          <w:tcPr>
            <w:tcW w:type="dxa" w:w="2411"/>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Ab 2029, jährlich</w:t>
            </w:r>
          </w:p>
        </w:tc>
      </w:tr>
    </w:tbl>
    <w:p>
      <w:pPr>
        <w:spacing w:after="80" w:line="240"/>
        <w:jc w:val="left"/>
      </w:pPr>
      <w:r>
        <w:rPr>
          <w:sz w:val="22"/>
          <w:szCs w:val="22"/>
          <w:rFonts w:ascii="Arial" w:cs="Arial" w:eastAsia="Arial" w:hAnsi="Arial"/>
        </w:rPr>
      </w:r>
    </w:p>
    <w:p>
      <w:pPr>
        <w:pStyle w:val="Heading3"/>
        <w:spacing w:before="160" w:after="80"/>
        <w:jc w:val="left"/>
      </w:pPr>
      <w:r>
        <w:rPr>
          <w:b/>
          <w:bCs/>
          <w:color w:val="1B2B4B"/>
          <w:sz w:val="23"/>
          <w:szCs w:val="23"/>
          <w:rFonts w:ascii="Arial" w:cs="Arial" w:eastAsia="Arial" w:hAnsi="Arial"/>
        </w:rPr>
        <w:t xml:space="preserve">Entwurfstext für einen Bundestagsbeschluss (Empfehlungscharakter)</w:t>
      </w:r>
    </w:p>
    <w:p>
      <w:pPr>
        <w:spacing w:after="140" w:line="276"/>
        <w:jc w:val="left"/>
      </w:pPr>
      <w:r>
        <w:rPr>
          <w:sz w:val="22"/>
          <w:szCs w:val="22"/>
          <w:rFonts w:ascii="Arial" w:cs="Arial" w:eastAsia="Arial" w:hAnsi="Arial"/>
        </w:rPr>
        <w:t xml:space="preserve">&gt; </w:t>
      </w:r>
      <w:r>
        <w:rPr>
          <w:b/>
          <w:bCs/>
          <w:sz w:val="22"/>
          <w:szCs w:val="22"/>
          <w:rFonts w:ascii="Arial" w:cs="Arial" w:eastAsia="Arial" w:hAnsi="Arial"/>
        </w:rPr>
        <w:t xml:space="preserve">Entwurf einer Entschließung des Deutschen Bundestages:</w:t>
      </w:r>
    </w:p>
    <w:p>
      <w:pPr>
        <w:spacing w:after="140" w:line="276"/>
        <w:jc w:val="left"/>
      </w:pPr>
      <w:r>
        <w:rPr>
          <w:sz w:val="22"/>
          <w:szCs w:val="22"/>
          <w:rFonts w:ascii="Arial" w:cs="Arial" w:eastAsia="Arial" w:hAnsi="Arial"/>
        </w:rPr>
        <w:t xml:space="preserve">&gt;</w:t>
      </w:r>
    </w:p>
    <w:p>
      <w:pPr>
        <w:spacing w:after="140" w:line="276"/>
        <w:jc w:val="left"/>
      </w:pPr>
      <w:r>
        <w:rPr>
          <w:sz w:val="22"/>
          <w:szCs w:val="22"/>
          <w:rFonts w:ascii="Arial" w:cs="Arial" w:eastAsia="Arial" w:hAnsi="Arial"/>
        </w:rPr>
        <w:t xml:space="preserve">&gt; </w:t>
      </w:r>
      <w:r>
        <w:rPr>
          <w:i/>
          <w:iCs/>
          <w:sz w:val="22"/>
          <w:szCs w:val="22"/>
          <w:rFonts w:ascii="Arial" w:cs="Arial" w:eastAsia="Arial" w:hAnsi="Arial"/>
        </w:rPr>
        <w:t xml:space="preserve">Der Deutsche Bundestag fordert die Bundesregierung auf,</w:t>
      </w:r>
    </w:p>
    <w:p>
      <w:pPr>
        <w:spacing w:after="140" w:line="276"/>
        <w:jc w:val="left"/>
      </w:pPr>
      <w:r>
        <w:rPr>
          <w:sz w:val="22"/>
          <w:szCs w:val="22"/>
          <w:rFonts w:ascii="Arial" w:cs="Arial" w:eastAsia="Arial" w:hAnsi="Arial"/>
        </w:rPr>
        <w:t xml:space="preserve">&gt;</w:t>
      </w:r>
    </w:p>
    <w:p>
      <w:pPr>
        <w:spacing w:after="140" w:line="276"/>
        <w:jc w:val="left"/>
      </w:pPr>
      <w:r>
        <w:rPr>
          <w:sz w:val="22"/>
          <w:szCs w:val="22"/>
          <w:rFonts w:ascii="Arial" w:cs="Arial" w:eastAsia="Arial" w:hAnsi="Arial"/>
        </w:rPr>
        <w:t xml:space="preserve">&gt; </w:t>
      </w:r>
      <w:r>
        <w:rPr>
          <w:i/>
          <w:iCs/>
          <w:sz w:val="22"/>
          <w:szCs w:val="22"/>
          <w:rFonts w:ascii="Arial" w:cs="Arial" w:eastAsia="Arial" w:hAnsi="Arial"/>
        </w:rPr>
        <w:t xml:space="preserve">1. sich im Rat der Europäischen Union bei der formalen Verabschiedung des EU-Pharmapakets für die Beibehaltung einer Basis-Marktexklusivitätsfrist von mindestens 10 Jahren für Orphan-Arzneimittel einzusetzen;</w:t>
      </w:r>
    </w:p>
    <w:p>
      <w:pPr>
        <w:spacing w:after="140" w:line="276"/>
        <w:jc w:val="left"/>
      </w:pPr>
      <w:r>
        <w:rPr>
          <w:sz w:val="22"/>
          <w:szCs w:val="22"/>
          <w:rFonts w:ascii="Arial" w:cs="Arial" w:eastAsia="Arial" w:hAnsi="Arial"/>
        </w:rPr>
        <w:t xml:space="preserve">&gt;</w:t>
      </w:r>
    </w:p>
    <w:p>
      <w:pPr>
        <w:spacing w:after="140" w:line="276"/>
        <w:jc w:val="left"/>
      </w:pPr>
      <w:r>
        <w:rPr>
          <w:sz w:val="22"/>
          <w:szCs w:val="22"/>
          <w:rFonts w:ascii="Arial" w:cs="Arial" w:eastAsia="Arial" w:hAnsi="Arial"/>
        </w:rPr>
        <w:t xml:space="preserve">&gt; </w:t>
      </w:r>
      <w:r>
        <w:rPr>
          <w:i/>
          <w:iCs/>
          <w:sz w:val="22"/>
          <w:szCs w:val="22"/>
          <w:rFonts w:ascii="Arial" w:cs="Arial" w:eastAsia="Arial" w:hAnsi="Arial"/>
        </w:rPr>
        <w:t xml:space="preserve">2. im Falle der Verabschiedung der 9-Jahres-Frist flankierende nationale Maßnahmen zur Stärkung des Orphan-Drug-Innovationsstandorts Deutschland vorzulegen, einschließlich eines dedizierten KMU-Förderprogramms und einer Optimierung der AMNOG-Bewertungsverfahren für seltene Erkrankungen;</w:t>
      </w:r>
    </w:p>
    <w:p>
      <w:pPr>
        <w:spacing w:after="140" w:line="276"/>
        <w:jc w:val="left"/>
      </w:pPr>
      <w:r>
        <w:rPr>
          <w:sz w:val="22"/>
          <w:szCs w:val="22"/>
          <w:rFonts w:ascii="Arial" w:cs="Arial" w:eastAsia="Arial" w:hAnsi="Arial"/>
        </w:rPr>
        <w:t xml:space="preserve">&gt;</w:t>
      </w:r>
    </w:p>
    <w:p>
      <w:pPr>
        <w:spacing w:after="140" w:line="276"/>
        <w:jc w:val="left"/>
      </w:pPr>
      <w:r>
        <w:rPr>
          <w:sz w:val="22"/>
          <w:szCs w:val="22"/>
          <w:rFonts w:ascii="Arial" w:cs="Arial" w:eastAsia="Arial" w:hAnsi="Arial"/>
        </w:rPr>
        <w:t xml:space="preserve">&gt; </w:t>
      </w:r>
      <w:r>
        <w:rPr>
          <w:i/>
          <w:iCs/>
          <w:sz w:val="22"/>
          <w:szCs w:val="22"/>
          <w:rFonts w:ascii="Arial" w:cs="Arial" w:eastAsia="Arial" w:hAnsi="Arial"/>
        </w:rPr>
        <w:t xml:space="preserve">3. dem Gesundheitsausschuss spätestens sechs Monate vor Ablauf der Transpositionsfrist einen Bericht über die Auswirkungen des neuen Exklusivitätsregimes auf die deutsche Orphan-Drug-Pipeline und die Patientenversorgung vorzulegen.</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7. RISIKOBETRACHTUNG</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4"/>
      </w:tblGrid>
      <w:tr>
        <w:trPr>
          <w:tblHeader/>
        </w:trPr>
        <w:tc>
          <w:tcPr>
            <w:tcW w:type="dxa" w:w="3212"/>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Risiko</w:t>
            </w:r>
          </w:p>
        </w:tc>
        <w:tc>
          <w:tcPr>
            <w:tcW w:type="dxa" w:w="3212"/>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Beschreibung</w:t>
            </w:r>
          </w:p>
        </w:tc>
        <w:tc>
          <w:tcPr>
            <w:tcW w:type="dxa" w:w="3214"/>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Minderungsmaßnahme</w:t>
            </w:r>
          </w:p>
        </w:tc>
      </w:tr>
      <w:tr>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Politisches Risiko: Isolierung Deutschlands im Rat</w:t>
            </w:r>
          </w:p>
        </w:tc>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Deutschland könnte als „industriefreundlich" wahrgenommen werden und auf Widerstand südlicher und östlicher Mitgliedstaaten stoßen, die niedrigere Arzneimittelpreise priorisieren.</w:t>
            </w:r>
          </w:p>
        </w:tc>
        <w:tc>
          <w:tcPr>
            <w:tcW w:type="dxa" w:w="3214"/>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Framing als Patienteninteresse (95 % der seltenen Erkrankungen ohne Therapie); Allianz mit nordischen Staaten und Frankreich aufbauen; Bezugnahme auf die eigene Ratsposition von Juni 2025.</w:t>
            </w:r>
          </w:p>
        </w:tc>
      </w:tr>
      <w:tr>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Regulatorisches Risiko: Rückwirkende Anwendung</w:t>
            </w:r>
          </w:p>
        </w:tc>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Es wird allgemein nicht erwartet, dass die neue Gesetzgebung vor 2028 in Kraft tritt. Angesichts der langen Entwicklungszeiträume pharmazeutischer Produkte könnten die geänderten Exklusivitätsfristen jedoch Produkte betreffen, die sich bereits in der Pipeline befinden.</w:t>
            </w:r>
          </w:p>
        </w:tc>
        <w:tc>
          <w:tcPr>
            <w:tcW w:type="dxa" w:w="3214"/>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Transitional provisions im Transpositionsgesetz verankern; Bestandsschutz für Orphan-Designierungen, die vor Inkrafttreten erteilt wurden.</w:t>
            </w:r>
          </w:p>
        </w:tc>
      </w:tr>
      <w:tr>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Wettbewerbsrisiko: US-Tarife und Investitionsumleitung</w:t>
            </w:r>
          </w:p>
        </w:tc>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US-Tariffe haben pharmazeutische Investitionsankündigungen in Richtung USA gelenkt; britische und europäische Pharmaunternehmen investieren massiv in den USA, z. B. Roche mit 50 Mrd. USD über fünf Jahre.</w:t>
            </w:r>
          </w:p>
        </w:tc>
        <w:tc>
          <w:tcPr>
            <w:tcW w:type="dxa" w:w="3214"/>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Nationale Standortanreize (MFG-Instrumente) aktiv für Orphan-Drug-Firmen nutzen; Deutschland als „Orphan-Drug-Innovationshauptstadt" Europas positionieren.</w:t>
            </w:r>
          </w:p>
        </w:tc>
      </w:tr>
      <w:tr>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Implementierungsrisiko: KMU-Förderung verfehlt Zielgruppe</w:t>
            </w:r>
          </w:p>
        </w:tc>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Förderprogramme könnten von großen Unternehmen statt von KMU absorbiert werden.</w:t>
            </w:r>
          </w:p>
        </w:tc>
        <w:tc>
          <w:tcPr>
            <w:tcW w:type="dxa" w:w="3214"/>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Förderung explizit an KMU-Definition (EU-Definition: &lt;250 Mitarbeiter, &lt;50 Mio. Euro Umsatz) knüpfen; Monitoring durch das BMBF.</w:t>
            </w:r>
          </w:p>
        </w:tc>
      </w:tr>
      <w:tr>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Reputationsrisiko: Vorwurf der Industrienähe</w:t>
            </w:r>
          </w:p>
        </w:tc>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Kritik, dass Deutschland die Interessen der Pharmaindustrie über den Patientenzugang stellt.</w:t>
            </w:r>
          </w:p>
        </w:tc>
        <w:tc>
          <w:tcPr>
            <w:tcW w:type="dxa" w:w="3214"/>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Argumentationslinie konsequent an Patientenbedürfnissen ausrichten (30 Mio. Betroffene in Europa); Koalition mit Patientenorganisationen (ACHSE e.V., EURORDIS).</w:t>
            </w:r>
          </w:p>
        </w:tc>
      </w:tr>
    </w:tbl>
    <w:p>
      <w:pPr>
        <w:spacing w:after="80" w:line="240"/>
        <w:jc w:val="left"/>
      </w:pPr>
      <w:r>
        <w:rPr>
          <w:sz w:val="22"/>
          <w:szCs w:val="22"/>
          <w:rFonts w:ascii="Arial" w:cs="Arial" w:eastAsia="Arial" w:hAnsi="Arial"/>
        </w:rPr>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8. SCHLUSSFOLGERUNGEN UND EMPFEHLUNGEN</w:t>
      </w:r>
    </w:p>
    <w:p>
      <w:pPr>
        <w:spacing w:after="140" w:line="276"/>
        <w:jc w:val="left"/>
      </w:pPr>
      <w:r>
        <w:rPr>
          <w:b/>
          <w:bCs/>
          <w:sz w:val="22"/>
          <w:szCs w:val="22"/>
          <w:rFonts w:ascii="Arial" w:cs="Arial" w:eastAsia="Arial" w:hAnsi="Arial"/>
        </w:rPr>
        <w:t xml:space="preserve">Empfehlung 1:</w:t>
      </w:r>
      <w:r>
        <w:rPr>
          <w:sz w:val="22"/>
          <w:szCs w:val="22"/>
          <w:rFonts w:ascii="Arial" w:cs="Arial" w:eastAsia="Arial" w:hAnsi="Arial"/>
        </w:rPr>
        <w:t xml:space="preserve"> Die Bundesregierung soll sich im Rat der EU bei der formalen Verabschiedung des Pharmapakets — voraussichtlich Herbst 2026 — explizit für die Beibehaltung der 10-Jahres-Basis-Marktexklusivität für Orphan-Arzneimittel einsetzen, wie sie der Rat selbst in seiner Position vom Juni 2025 vorgeschlagen hat. </w:t>
      </w:r>
      <w:r>
        <w:rPr>
          <w:i/>
          <w:iCs/>
          <w:sz w:val="22"/>
          <w:szCs w:val="22"/>
          <w:rFonts w:ascii="Arial" w:cs="Arial" w:eastAsia="Arial" w:hAnsi="Arial"/>
        </w:rPr>
        <w:t xml:space="preserve">Zuständig: BMG, Federführung; AA für Ratskoordination. Frist: Vor formaler Verabschiedung.</w:t>
      </w:r>
    </w:p>
    <w:p>
      <w:pPr>
        <w:spacing w:after="140" w:line="276"/>
        <w:jc w:val="left"/>
      </w:pPr>
      <w:r>
        <w:rPr>
          <w:b/>
          <w:bCs/>
          <w:sz w:val="22"/>
          <w:szCs w:val="22"/>
          <w:rFonts w:ascii="Arial" w:cs="Arial" w:eastAsia="Arial" w:hAnsi="Arial"/>
        </w:rPr>
        <w:t xml:space="preserve">Empfehlung 2:</w:t>
      </w:r>
      <w:r>
        <w:rPr>
          <w:sz w:val="22"/>
          <w:szCs w:val="22"/>
          <w:rFonts w:ascii="Arial" w:cs="Arial" w:eastAsia="Arial" w:hAnsi="Arial"/>
        </w:rPr>
        <w:t xml:space="preserve"> Das BMG soll in Abstimmung mit dem BMBF bis Ende Q1 2027 den Entwurf eines „Orphan-Drug-Innovations-Stärkungsgesetzes" vorlegen, das ein dediziertes KMU-Förderprogramm (mindestens 50 Mio. Euro/Jahr), beschleunigte Nutzenbewertungsverfahren für Ultra-Orphan-Arzneimittel und den vollumfänglichen Einsatz der vertraulichen Erstattungspreise gemäß MFG 2024 für Orphan-Indikationen umfasst. </w:t>
      </w:r>
      <w:r>
        <w:rPr>
          <w:i/>
          <w:iCs/>
          <w:sz w:val="22"/>
          <w:szCs w:val="22"/>
          <w:rFonts w:ascii="Arial" w:cs="Arial" w:eastAsia="Arial" w:hAnsi="Arial"/>
        </w:rPr>
        <w:t xml:space="preserve">Zuständig: BMG, BMBF. Frist: Q1 2027.</w:t>
      </w:r>
    </w:p>
    <w:p>
      <w:pPr>
        <w:spacing w:after="140" w:line="276"/>
        <w:jc w:val="left"/>
      </w:pPr>
      <w:r>
        <w:rPr>
          <w:b/>
          <w:bCs/>
          <w:sz w:val="22"/>
          <w:szCs w:val="22"/>
          <w:rFonts w:ascii="Arial" w:cs="Arial" w:eastAsia="Arial" w:hAnsi="Arial"/>
        </w:rPr>
        <w:t xml:space="preserve">Empfehlung 3:</w:t>
      </w:r>
      <w:r>
        <w:rPr>
          <w:sz w:val="22"/>
          <w:szCs w:val="22"/>
          <w:rFonts w:ascii="Arial" w:cs="Arial" w:eastAsia="Arial" w:hAnsi="Arial"/>
        </w:rPr>
        <w:t xml:space="preserve"> Der Gemeinsame Bundesausschuss (G-BA) soll die Bewertungspraktiken für Orphan-Arzneimittel überprüfen und sicherstellen, dass die Absenkung der Umsatzschwelle auf 30 Millionen Euro nicht dazu führt, dass Orphan-Drug-Entwickler systematisch benachteiligt werden, insbesondere bei Ultra-Orphan-Indikationen. </w:t>
      </w:r>
      <w:r>
        <w:rPr>
          <w:i/>
          <w:iCs/>
          <w:sz w:val="22"/>
          <w:szCs w:val="22"/>
          <w:rFonts w:ascii="Arial" w:cs="Arial" w:eastAsia="Arial" w:hAnsi="Arial"/>
        </w:rPr>
        <w:t xml:space="preserve">Zuständig: G-BA. Frist: 12 Monate nach Verabschiedung des Pharmapakets.</w:t>
      </w:r>
    </w:p>
    <w:p>
      <w:pPr>
        <w:spacing w:after="140" w:line="276"/>
        <w:jc w:val="left"/>
      </w:pPr>
      <w:r>
        <w:rPr>
          <w:b/>
          <w:bCs/>
          <w:sz w:val="22"/>
          <w:szCs w:val="22"/>
          <w:rFonts w:ascii="Arial" w:cs="Arial" w:eastAsia="Arial" w:hAnsi="Arial"/>
        </w:rPr>
        <w:t xml:space="preserve">Empfehlung 4:</w:t>
      </w:r>
      <w:r>
        <w:rPr>
          <w:sz w:val="22"/>
          <w:szCs w:val="22"/>
          <w:rFonts w:ascii="Arial" w:cs="Arial" w:eastAsia="Arial" w:hAnsi="Arial"/>
        </w:rPr>
        <w:t xml:space="preserve"> Das BMG soll bei der Transposition der neuen EU-Richtlinie in deutsches Recht Bestandsschutzregelungen für alle Orphan-Arzneimittel verankern, die vor Inkrafttreten der neuen Verordnung eine Orphan-Designation erhalten haben. </w:t>
      </w:r>
      <w:r>
        <w:rPr>
          <w:i/>
          <w:iCs/>
          <w:sz w:val="22"/>
          <w:szCs w:val="22"/>
          <w:rFonts w:ascii="Arial" w:cs="Arial" w:eastAsia="Arial" w:hAnsi="Arial"/>
        </w:rPr>
        <w:t xml:space="preserve">Zuständig: BMG, BfArM. Frist: Innerhalb der Transpositionsfrist (voraussichtlich 24 Monate).</w:t>
      </w:r>
    </w:p>
    <w:p>
      <w:pPr>
        <w:spacing w:after="140" w:line="276"/>
        <w:jc w:val="left"/>
      </w:pPr>
      <w:r>
        <w:rPr>
          <w:b/>
          <w:bCs/>
          <w:sz w:val="22"/>
          <w:szCs w:val="22"/>
          <w:rFonts w:ascii="Arial" w:cs="Arial" w:eastAsia="Arial" w:hAnsi="Arial"/>
        </w:rPr>
        <w:t xml:space="preserve">Empfehlung 5:</w:t>
      </w:r>
      <w:r>
        <w:rPr>
          <w:sz w:val="22"/>
          <w:szCs w:val="22"/>
          <w:rFonts w:ascii="Arial" w:cs="Arial" w:eastAsia="Arial" w:hAnsi="Arial"/>
        </w:rPr>
        <w:t xml:space="preserve"> Der Gesundheitsausschuss des Bundestages soll eine Anhörung zum Thema „Zukunft der Orphan-Drug-Forschung in Deutschland" vor der formalen Verabschiedung des Pharmapakets im Rat durchführen — unter Einbeziehung von Patientenorganisationen (ACHSE e.V., EURORDIS), KMU-Vertretern und dem BfArM. </w:t>
      </w:r>
      <w:r>
        <w:rPr>
          <w:i/>
          <w:iCs/>
          <w:sz w:val="22"/>
          <w:szCs w:val="22"/>
          <w:rFonts w:ascii="Arial" w:cs="Arial" w:eastAsia="Arial" w:hAnsi="Arial"/>
        </w:rPr>
        <w:t xml:space="preserve">Zuständig: Ausschuss für Gesundheit. Frist: Juni/Juli 2026.</w:t>
      </w:r>
    </w:p>
    <w:p>
      <w:pPr>
        <w:pBdr>
          <w:bottom w:val="single" w:color="D0D0D0" w:sz="4" w:space="2"/>
        </w:pBdr>
        <w:spacing w:after="100"/>
        <w:jc w:val="left"/>
      </w:pPr>
      <w:r>
        <w:rPr>
          <w:sz w:val="22"/>
          <w:szCs w:val="22"/>
          <w:rFonts w:ascii="Arial" w:cs="Arial" w:eastAsia="Arial" w:hAnsi="Arial"/>
        </w:rPr>
      </w:r>
    </w:p>
    <w:p>
      <w:pPr>
        <w:spacing w:before="160" w:after="80"/>
        <w:jc w:val="left"/>
      </w:pPr>
      <w:r>
        <w:rPr>
          <w:b/>
          <w:bCs/>
          <w:color w:val="1B2B4B"/>
          <w:sz w:val="23"/>
          <w:szCs w:val="23"/>
          <w:rFonts w:ascii="Arial" w:cs="Arial" w:eastAsia="Arial" w:hAnsi="Arial"/>
        </w:rPr>
        <w:t xml:space="preserve">Die politische Entscheidung, die in den kommenden Monaten getroffen wird, entscheidet darüber, ob 30 Millionen Menschen mit seltenen Erkrankungen in Europa in den nächsten drei Jahrzehnten neue Therapien erhalten — oder ob das Versprechen der EU-Orphan-Verordnung von 2000 durch ein verfehltes Gleichgewicht zwischen Kostendämpfung und Innovationsschutz strukturell untergraben wird. Deutschland hat die Mittel, die Stimme und die Verantwortung, das Richtige zu tun.</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ANHÄNGE</w:t>
      </w:r>
    </w:p>
    <w:p>
      <w:pPr>
        <w:pStyle w:val="Heading3"/>
        <w:spacing w:before="160" w:after="80"/>
        <w:jc w:val="left"/>
      </w:pPr>
      <w:r>
        <w:rPr>
          <w:b/>
          <w:bCs/>
          <w:color w:val="1B2B4B"/>
          <w:sz w:val="23"/>
          <w:szCs w:val="23"/>
          <w:rFonts w:ascii="Arial" w:cs="Arial" w:eastAsia="Arial" w:hAnsi="Arial"/>
        </w:rPr>
        <w:t xml:space="preserve">Anhang A: Unterstützende Daten und Statistiken</w:t>
      </w:r>
    </w:p>
    <w:p>
      <w:pPr>
        <w:spacing w:before="160" w:after="80"/>
        <w:jc w:val="left"/>
      </w:pPr>
      <w:r>
        <w:rPr>
          <w:b/>
          <w:bCs/>
          <w:color w:val="1B2B4B"/>
          <w:sz w:val="23"/>
          <w:szCs w:val="23"/>
          <w:rFonts w:ascii="Arial" w:cs="Arial" w:eastAsia="Arial" w:hAnsi="Arial"/>
        </w:rPr>
        <w:t xml:space="preserve">Tabelle A.1: Orphan-Drug-Marktdaten Deutschland</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4"/>
      </w:tblGrid>
      <w:tr>
        <w:trPr>
          <w:tblHeader/>
        </w:trPr>
        <w:tc>
          <w:tcPr>
            <w:tcW w:type="dxa" w:w="3212"/>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Indikator</w:t>
            </w:r>
          </w:p>
        </w:tc>
        <w:tc>
          <w:tcPr>
            <w:tcW w:type="dxa" w:w="3212"/>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Wert</w:t>
            </w:r>
          </w:p>
        </w:tc>
        <w:tc>
          <w:tcPr>
            <w:tcW w:type="dxa" w:w="3214"/>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Quelle / Jahr</w:t>
            </w:r>
          </w:p>
        </w:tc>
      </w:tr>
      <w:tr>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GKV-Ausgaben für Orphan-Arzneimittel</w:t>
            </w:r>
          </w:p>
        </w:tc>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&gt;7 Mrd. Euro</w:t>
            </w:r>
          </w:p>
        </w:tc>
        <w:tc>
          <w:tcPr>
            <w:tcW w:type="dxa" w:w="3214"/>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jstindt.com / 2023</w:t>
            </w:r>
          </w:p>
        </w:tc>
      </w:tr>
      <w:tr>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Anteil Orphan Drugs an GKV-Ausgaben</w:t>
            </w:r>
          </w:p>
        </w:tc>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13,5 %</w:t>
            </w:r>
          </w:p>
        </w:tc>
        <w:tc>
          <w:tcPr>
            <w:tcW w:type="dxa" w:w="3214"/>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jstindt.com / 2023</w:t>
            </w:r>
          </w:p>
        </w:tc>
      </w:tr>
      <w:tr>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Anteil Orphan Drugs an verordneten Tagesdosen</w:t>
            </w:r>
          </w:p>
        </w:tc>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0,07 %</w:t>
            </w:r>
          </w:p>
        </w:tc>
        <w:tc>
          <w:tcPr>
            <w:tcW w:type="dxa" w:w="3214"/>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jstindt.com / 2023</w:t>
            </w:r>
          </w:p>
        </w:tc>
      </w:tr>
      <w:tr>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AMNOG-Umsatzschwelle für Orphan-Drug-Vollbewertung</w:t>
            </w:r>
          </w:p>
        </w:tc>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30 Mio. Euro/12 Monate</w:t>
            </w:r>
          </w:p>
        </w:tc>
        <w:tc>
          <w:tcPr>
            <w:tcW w:type="dxa" w:w="3214"/>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go.pharmazie.com / 2024</w:t>
            </w:r>
          </w:p>
        </w:tc>
      </w:tr>
      <w:tr>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Bayerische Biotech-Unternehmen</w:t>
            </w:r>
          </w:p>
        </w:tc>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540</w:t>
            </w:r>
          </w:p>
        </w:tc>
        <w:tc>
          <w:tcPr>
            <w:tcW w:type="dxa" w:w="3214"/>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Mordor Intelligence / 2024</w:t>
            </w:r>
          </w:p>
        </w:tc>
      </w:tr>
      <w:tr>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Bayerische Biotech-Finanzierung 2024</w:t>
            </w:r>
          </w:p>
        </w:tc>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910 Mio. Euro</w:t>
            </w:r>
          </w:p>
        </w:tc>
        <w:tc>
          <w:tcPr>
            <w:tcW w:type="dxa" w:w="3214"/>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Mordor Intelligence / 2024</w:t>
            </w:r>
          </w:p>
        </w:tc>
      </w:tr>
      <w:tr>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Deutscher Pharmamarkt Umsatz 2023</w:t>
            </w:r>
          </w:p>
        </w:tc>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59,8 Mrd. Euro</w:t>
            </w:r>
          </w:p>
        </w:tc>
        <w:tc>
          <w:tcPr>
            <w:tcW w:type="dxa" w:w="3214"/>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Altios / Statista 2023</w:t>
            </w:r>
          </w:p>
        </w:tc>
      </w:tr>
    </w:tbl>
    <w:p>
      <w:pPr>
        <w:spacing w:after="80" w:line="240"/>
        <w:jc w:val="left"/>
      </w:pPr>
      <w:r>
        <w:rPr>
          <w:sz w:val="22"/>
          <w:szCs w:val="22"/>
          <w:rFonts w:ascii="Arial" w:cs="Arial" w:eastAsia="Arial" w:hAnsi="Arial"/>
        </w:rPr>
      </w:r>
    </w:p>
    <w:p>
      <w:pPr>
        <w:spacing w:before="160" w:after="80"/>
        <w:jc w:val="left"/>
      </w:pPr>
      <w:r>
        <w:rPr>
          <w:b/>
          <w:bCs/>
          <w:color w:val="1B2B4B"/>
          <w:sz w:val="23"/>
          <w:szCs w:val="23"/>
          <w:rFonts w:ascii="Arial" w:cs="Arial" w:eastAsia="Arial" w:hAnsi="Arial"/>
        </w:rPr>
        <w:t xml:space="preserve">Tabelle A.2: Globale F&amp;E-Investitionsentwicklung</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4"/>
      </w:tblGrid>
      <w:tr>
        <w:trPr>
          <w:tblHeader/>
        </w:trPr>
        <w:tc>
          <w:tcPr>
            <w:tcW w:type="dxa" w:w="3212"/>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Indikator</w:t>
            </w:r>
          </w:p>
        </w:tc>
        <w:tc>
          <w:tcPr>
            <w:tcW w:type="dxa" w:w="3212"/>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Wert</w:t>
            </w:r>
          </w:p>
        </w:tc>
        <w:tc>
          <w:tcPr>
            <w:tcW w:type="dxa" w:w="3214"/>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Quelle</w:t>
            </w:r>
          </w:p>
        </w:tc>
      </w:tr>
      <w:tr>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Europas Anteil an globaler Pharma-F&amp;E (2001)</w:t>
            </w:r>
          </w:p>
        </w:tc>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41 %</w:t>
            </w:r>
          </w:p>
        </w:tc>
        <w:tc>
          <w:tcPr>
            <w:tcW w:type="dxa" w:w="3214"/>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EFPIA/CRA</w:t>
            </w:r>
          </w:p>
        </w:tc>
      </w:tr>
      <w:tr>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Europas Anteil an globaler Pharma-F&amp;E (aktuell)</w:t>
            </w:r>
          </w:p>
        </w:tc>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31 %</w:t>
            </w:r>
          </w:p>
        </w:tc>
        <w:tc>
          <w:tcPr>
            <w:tcW w:type="dxa" w:w="3214"/>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EFPIA/CRA</w:t>
            </w:r>
          </w:p>
        </w:tc>
      </w:tr>
      <w:tr>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Prognostizierter Anteil 2040 (bei Status quo)</w:t>
            </w:r>
          </w:p>
        </w:tc>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21 %</w:t>
            </w:r>
          </w:p>
        </w:tc>
        <w:tc>
          <w:tcPr>
            <w:tcW w:type="dxa" w:w="3214"/>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EFPIA/Science</w:t>
            </w:r>
          </w:p>
        </w:tc>
      </w:tr>
      <w:tr>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Jährlicher F&amp;E-Verlust für Deutschland (Szenario)</w:t>
            </w:r>
          </w:p>
        </w:tc>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626 Mio. Euro</w:t>
            </w:r>
          </w:p>
        </w:tc>
        <w:tc>
          <w:tcPr>
            <w:tcW w:type="dxa" w:w="3214"/>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EFPIA/CRA</w:t>
            </w:r>
          </w:p>
        </w:tc>
      </w:tr>
      <w:tr>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US-EU-F&amp;E-Differenz (2002)</w:t>
            </w:r>
          </w:p>
        </w:tc>
        <w:tc>
          <w:tcPr>
            <w:tcW w:type="dxa" w:w="3212"/>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 Mrd. Euro</w:t>
            </w:r>
          </w:p>
        </w:tc>
        <w:tc>
          <w:tcPr>
            <w:tcW w:type="dxa" w:w="3214"/>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EFPIA</w:t>
            </w:r>
          </w:p>
        </w:tc>
      </w:tr>
      <w:tr>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US-EU-F&amp;E-Differenz (aktuell)</w:t>
            </w:r>
          </w:p>
        </w:tc>
        <w:tc>
          <w:tcPr>
            <w:tcW w:type="dxa" w:w="3212"/>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25 Mrd. Euro</w:t>
            </w:r>
          </w:p>
        </w:tc>
        <w:tc>
          <w:tcPr>
            <w:tcW w:type="dxa" w:w="3214"/>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EFPIA</w:t>
            </w:r>
          </w:p>
        </w:tc>
      </w:tr>
    </w:tbl>
    <w:p>
      <w:pPr>
        <w:spacing w:after="80" w:line="240"/>
        <w:jc w:val="left"/>
      </w:pPr>
      <w:r>
        <w:rPr>
          <w:sz w:val="22"/>
          <w:szCs w:val="22"/>
          <w:rFonts w:ascii="Arial" w:cs="Arial" w:eastAsia="Arial" w:hAnsi="Arial"/>
        </w:rPr>
      </w:r>
    </w:p>
    <w:p>
      <w:pPr>
        <w:pStyle w:val="Heading3"/>
        <w:spacing w:before="160" w:after="80"/>
        <w:jc w:val="left"/>
      </w:pPr>
      <w:r>
        <w:rPr>
          <w:b/>
          <w:bCs/>
          <w:color w:val="1B2B4B"/>
          <w:sz w:val="23"/>
          <w:szCs w:val="23"/>
          <w:rFonts w:ascii="Arial" w:cs="Arial" w:eastAsia="Arial" w:hAnsi="Arial"/>
        </w:rPr>
        <w:t xml:space="preserve">Anhang B: Entwurf eines Entschließungsantrags</w:t>
      </w:r>
    </w:p>
    <w:p>
      <w:pPr>
        <w:spacing w:after="140" w:line="276"/>
        <w:jc w:val="left"/>
      </w:pPr>
      <w:r>
        <w:rPr>
          <w:sz w:val="22"/>
          <w:szCs w:val="22"/>
          <w:rFonts w:ascii="Arial" w:cs="Arial" w:eastAsia="Arial" w:hAnsi="Arial"/>
        </w:rPr>
        <w:t xml:space="preserve">[Siehe Abschnitt 6 für den vollständigen Entwurfstext.]</w:t>
      </w:r>
    </w:p>
    <w:p>
      <w:pPr>
        <w:pStyle w:val="Heading3"/>
        <w:spacing w:before="160" w:after="80"/>
        <w:jc w:val="left"/>
      </w:pPr>
      <w:r>
        <w:rPr>
          <w:b/>
          <w:bCs/>
          <w:color w:val="1B2B4B"/>
          <w:sz w:val="23"/>
          <w:szCs w:val="23"/>
          <w:rFonts w:ascii="Arial" w:cs="Arial" w:eastAsia="Arial" w:hAnsi="Arial"/>
        </w:rPr>
        <w:t xml:space="preserve">Anhang C: Vollständige Quellenliste</w:t>
      </w:r>
    </w:p>
    <w:p>
      <w:pPr>
        <w:spacing w:after="140" w:line="276"/>
        <w:jc w:val="left"/>
      </w:pPr>
      <w:r>
        <w:rPr>
          <w:sz w:val="22"/>
          <w:szCs w:val="22"/>
          <w:rFonts w:ascii="Arial" w:cs="Arial" w:eastAsia="Arial" w:hAnsi="Arial"/>
        </w:rPr>
        <w:t xml:space="preserve">Nachfolgend sind alle im Text zitierten Quellen konsolidiert aufgeführt:</w:t>
      </w:r>
    </w:p>
    <w:p>
      <w:pPr>
        <w:spacing w:before="160" w:after="80"/>
        <w:jc w:val="left"/>
      </w:pPr>
      <w:r>
        <w:rPr>
          <w:b/>
          <w:bCs/>
          <w:color w:val="1B2B4B"/>
          <w:sz w:val="23"/>
          <w:szCs w:val="23"/>
          <w:rFonts w:ascii="Arial" w:cs="Arial" w:eastAsia="Arial" w:hAnsi="Arial"/>
        </w:rPr>
        <w:t xml:space="preserve">Abschnitt 1 (Hintergrund):</w:t>
      </w:r>
    </w:p>
    <w:p>
      <w:pPr>
        <w:pStyle w:val="ListParagraph"/>
        <w:numPr>
          <w:ilvl w:val="0"/>
          <w:numId w:val="2"/>
        </w:numPr>
        <w:spacing w:after="100" w:line="276"/>
        <w:ind w:left="720" w:hanging="360"/>
        <w:jc w:val="left"/>
      </w:pPr>
      <w:hyperlink w:history="1" r:id="rIde1d07s2b_w-zgmm9zpsvh">
        <w:r>
          <w:rPr>
            <w:u w:val="single" w:color="1155CC"/>
            <w:color w:val="1155CC"/>
            <w:sz w:val="22"/>
            <w:szCs w:val="22"/>
            <w:rFonts w:ascii="Arial" w:cs="Arial" w:eastAsia="Arial" w:hAnsi="Arial"/>
          </w:rPr>
          <w:t xml:space="preserve">EU Pharma Package – Osborne Clarke, März 2026</w:t>
        </w:r>
      </w:hyperlink>
    </w:p>
    <w:p>
      <w:pPr>
        <w:pStyle w:val="ListParagraph"/>
        <w:numPr>
          <w:ilvl w:val="0"/>
          <w:numId w:val="2"/>
        </w:numPr>
        <w:spacing w:after="100" w:line="276"/>
        <w:ind w:left="720" w:hanging="360"/>
        <w:jc w:val="left"/>
      </w:pPr>
      <w:hyperlink w:history="1" r:id="rId6kznhlsazaqrwdxizmvhg">
        <w:r>
          <w:rPr>
            <w:u w:val="single" w:color="1155CC"/>
            <w:color w:val="1155CC"/>
            <w:sz w:val="22"/>
            <w:szCs w:val="22"/>
            <w:rFonts w:ascii="Arial" w:cs="Arial" w:eastAsia="Arial" w:hAnsi="Arial"/>
          </w:rPr>
          <w:t xml:space="preserve">Unpacking the EU Pharma Package – Ropes &amp; Gray, März 2026</w:t>
        </w:r>
      </w:hyperlink>
    </w:p>
    <w:p>
      <w:pPr>
        <w:pStyle w:val="ListParagraph"/>
        <w:numPr>
          <w:ilvl w:val="0"/>
          <w:numId w:val="2"/>
        </w:numPr>
        <w:spacing w:after="100" w:line="276"/>
        <w:ind w:left="720" w:hanging="360"/>
        <w:jc w:val="left"/>
      </w:pPr>
      <w:hyperlink w:history="1" r:id="rId64stjolzraecedtmlbadm">
        <w:r>
          <w:rPr>
            <w:u w:val="single" w:color="1155CC"/>
            <w:color w:val="1155CC"/>
            <w:sz w:val="22"/>
            <w:szCs w:val="22"/>
            <w:rFonts w:ascii="Arial" w:cs="Arial" w:eastAsia="Arial" w:hAnsi="Arial"/>
          </w:rPr>
          <w:t xml:space="preserve">EU Council Final Pharma Package – Pharma Focus Europe, April 2026</w:t>
        </w:r>
      </w:hyperlink>
    </w:p>
    <w:p>
      <w:pPr>
        <w:pStyle w:val="ListParagraph"/>
        <w:numPr>
          <w:ilvl w:val="0"/>
          <w:numId w:val="2"/>
        </w:numPr>
        <w:spacing w:after="100" w:line="276"/>
        <w:ind w:left="720" w:hanging="360"/>
        <w:jc w:val="left"/>
      </w:pPr>
      <w:hyperlink w:history="1" r:id="rIdesyiva2zp2nyqmmvqpqsi">
        <w:r>
          <w:rPr>
            <w:u w:val="single" w:color="1155CC"/>
            <w:color w:val="1155CC"/>
            <w:sz w:val="22"/>
            <w:szCs w:val="22"/>
            <w:rFonts w:ascii="Arial" w:cs="Arial" w:eastAsia="Arial" w:hAnsi="Arial"/>
          </w:rPr>
          <w:t xml:space="preserve">EU Pharma Reforms Explained – EIP, Dezember 2025</w:t>
        </w:r>
      </w:hyperlink>
    </w:p>
    <w:p>
      <w:pPr>
        <w:pStyle w:val="ListParagraph"/>
        <w:numPr>
          <w:ilvl w:val="0"/>
          <w:numId w:val="2"/>
        </w:numPr>
        <w:spacing w:after="100" w:line="276"/>
        <w:ind w:left="720" w:hanging="360"/>
        <w:jc w:val="left"/>
      </w:pPr>
      <w:hyperlink w:history="1" r:id="rIddxnsnkovw3gw2guxcr_d9">
        <w:r>
          <w:rPr>
            <w:u w:val="single" w:color="1155CC"/>
            <w:color w:val="1155CC"/>
            <w:sz w:val="22"/>
            <w:szCs w:val="22"/>
            <w:rFonts w:ascii="Arial" w:cs="Arial" w:eastAsia="Arial" w:hAnsi="Arial"/>
          </w:rPr>
          <w:t xml:space="preserve">Market Exclusivity: Orphan Medicines – EMA</w:t>
        </w:r>
      </w:hyperlink>
    </w:p>
    <w:p>
      <w:pPr>
        <w:pStyle w:val="ListParagraph"/>
        <w:numPr>
          <w:ilvl w:val="0"/>
          <w:numId w:val="2"/>
        </w:numPr>
        <w:spacing w:after="100" w:line="276"/>
        <w:ind w:left="720" w:hanging="360"/>
        <w:jc w:val="left"/>
      </w:pPr>
      <w:hyperlink w:history="1" r:id="rIdqpb6seiohm46jno9d-ezo">
        <w:r>
          <w:rPr>
            <w:u w:val="single" w:color="1155CC"/>
            <w:color w:val="1155CC"/>
            <w:sz w:val="22"/>
            <w:szCs w:val="22"/>
            <w:rFonts w:ascii="Arial" w:cs="Arial" w:eastAsia="Arial" w:hAnsi="Arial"/>
          </w:rPr>
          <w:t xml:space="preserve">EU Pharma Reform – Cooley, Dezember 2025</w:t>
        </w:r>
      </w:hyperlink>
    </w:p>
    <w:p>
      <w:pPr>
        <w:pStyle w:val="ListParagraph"/>
        <w:numPr>
          <w:ilvl w:val="0"/>
          <w:numId w:val="2"/>
        </w:numPr>
        <w:spacing w:after="100" w:line="276"/>
        <w:ind w:left="720" w:hanging="360"/>
        <w:jc w:val="left"/>
      </w:pPr>
      <w:hyperlink w:history="1" r:id="rId8e0h_kiippxx0hvblsgb0">
        <w:r>
          <w:rPr>
            <w:u w:val="single" w:color="1155CC"/>
            <w:color w:val="1155CC"/>
            <w:sz w:val="22"/>
            <w:szCs w:val="22"/>
            <w:rFonts w:ascii="Arial" w:cs="Arial" w:eastAsia="Arial" w:hAnsi="Arial"/>
          </w:rPr>
          <w:t xml:space="preserve">EU Pharma Package – Sidley Austin, Dezember 2025</w:t>
        </w:r>
      </w:hyperlink>
    </w:p>
    <w:p>
      <w:pPr>
        <w:pStyle w:val="ListParagraph"/>
        <w:numPr>
          <w:ilvl w:val="0"/>
          <w:numId w:val="2"/>
        </w:numPr>
        <w:spacing w:after="100" w:line="276"/>
        <w:ind w:left="720" w:hanging="360"/>
        <w:jc w:val="left"/>
      </w:pPr>
      <w:hyperlink w:history="1" r:id="rIdmagsonkxwrjbjnzh2jck-">
        <w:r>
          <w:rPr>
            <w:u w:val="single" w:color="1155CC"/>
            <w:color w:val="1155CC"/>
            <w:sz w:val="22"/>
            <w:szCs w:val="22"/>
            <w:rFonts w:ascii="Arial" w:cs="Arial" w:eastAsia="Arial" w:hAnsi="Arial"/>
          </w:rPr>
          <w:t xml:space="preserve">New EU Pharmaceutical Reform Orphan Products – Bird &amp; Bird</w:t>
        </w:r>
      </w:hyperlink>
    </w:p>
    <w:p>
      <w:pPr>
        <w:pStyle w:val="ListParagraph"/>
        <w:numPr>
          <w:ilvl w:val="0"/>
          <w:numId w:val="2"/>
        </w:numPr>
        <w:spacing w:after="100" w:line="276"/>
        <w:ind w:left="720" w:hanging="360"/>
        <w:jc w:val="left"/>
      </w:pPr>
      <w:hyperlink w:history="1" r:id="rIdqo9cvdbxihqqwoqufglt5">
        <w:r>
          <w:rPr>
            <w:u w:val="single" w:color="1155CC"/>
            <w:color w:val="1155CC"/>
            <w:sz w:val="22"/>
            <w:szCs w:val="22"/>
            <w:rFonts w:ascii="Arial" w:cs="Arial" w:eastAsia="Arial" w:hAnsi="Arial"/>
          </w:rPr>
          <w:t xml:space="preserve">EU Pharma Package GOMA – Crowell &amp; Moring, April 2026</w:t>
        </w:r>
      </w:hyperlink>
    </w:p>
    <w:p>
      <w:pPr>
        <w:pStyle w:val="ListParagraph"/>
        <w:numPr>
          <w:ilvl w:val="0"/>
          <w:numId w:val="2"/>
        </w:numPr>
        <w:spacing w:after="100" w:line="276"/>
        <w:ind w:left="720" w:hanging="360"/>
        <w:jc w:val="left"/>
      </w:pPr>
      <w:hyperlink w:history="1" r:id="rIdir5sc3jlzihoomk1zuwrc">
        <w:r>
          <w:rPr>
            <w:u w:val="single" w:color="1155CC"/>
            <w:color w:val="1155CC"/>
            <w:sz w:val="22"/>
            <w:szCs w:val="22"/>
            <w:rFonts w:ascii="Arial" w:cs="Arial" w:eastAsia="Arial" w:hAnsi="Arial"/>
          </w:rPr>
          <w:t xml:space="preserve">EU Pharma Package Regulatory Exclusivity – Hogan Lovells, Juni 2025</w:t>
        </w:r>
      </w:hyperlink>
    </w:p>
    <w:p>
      <w:pPr>
        <w:spacing w:before="160" w:after="80"/>
        <w:jc w:val="left"/>
      </w:pPr>
      <w:r>
        <w:rPr>
          <w:b/>
          <w:bCs/>
          <w:color w:val="1B2B4B"/>
          <w:sz w:val="23"/>
          <w:szCs w:val="23"/>
          <w:rFonts w:ascii="Arial" w:cs="Arial" w:eastAsia="Arial" w:hAnsi="Arial"/>
        </w:rPr>
        <w:t xml:space="preserve">Abschnitt 1.2 (Problemdefinition) und Abschnitt 5 (Kosten der Untätigkeit):</w:t>
      </w:r>
    </w:p>
    <w:p>
      <w:pPr>
        <w:pStyle w:val="ListParagraph"/>
        <w:numPr>
          <w:ilvl w:val="0"/>
          <w:numId w:val="2"/>
        </w:numPr>
        <w:spacing w:after="100" w:line="276"/>
        <w:ind w:left="720" w:hanging="360"/>
        <w:jc w:val="left"/>
      </w:pPr>
      <w:hyperlink w:history="1" r:id="rId7pu6ocli2_vlrorgeop70">
        <w:r>
          <w:rPr>
            <w:u w:val="single" w:color="1155CC"/>
            <w:color w:val="1155CC"/>
            <w:sz w:val="22"/>
            <w:szCs w:val="22"/>
            <w:rFonts w:ascii="Arial" w:cs="Arial" w:eastAsia="Arial" w:hAnsi="Arial"/>
          </w:rPr>
          <w:t xml:space="preserve">EFPIA: Orphan Medicines Impact Assessment – September 2023</w:t>
        </w:r>
      </w:hyperlink>
    </w:p>
    <w:p>
      <w:pPr>
        <w:pStyle w:val="ListParagraph"/>
        <w:numPr>
          <w:ilvl w:val="0"/>
          <w:numId w:val="2"/>
        </w:numPr>
        <w:spacing w:after="100" w:line="276"/>
        <w:ind w:left="720" w:hanging="360"/>
        <w:jc w:val="left"/>
      </w:pPr>
      <w:hyperlink w:history="1" r:id="rId-kb9pdhzjy4s_tzendmy5">
        <w:r>
          <w:rPr>
            <w:u w:val="single" w:color="1155CC"/>
            <w:color w:val="1155CC"/>
            <w:sz w:val="22"/>
            <w:szCs w:val="22"/>
            <w:rFonts w:ascii="Arial" w:cs="Arial" w:eastAsia="Arial" w:hAnsi="Arial"/>
          </w:rPr>
          <w:t xml:space="preserve">EFPIA: Europe's R&amp;D share shrinks – CRA Report</w:t>
        </w:r>
      </w:hyperlink>
    </w:p>
    <w:p>
      <w:pPr>
        <w:pStyle w:val="ListParagraph"/>
        <w:numPr>
          <w:ilvl w:val="0"/>
          <w:numId w:val="2"/>
        </w:numPr>
        <w:spacing w:after="100" w:line="276"/>
        <w:ind w:left="720" w:hanging="360"/>
        <w:jc w:val="left"/>
      </w:pPr>
      <w:hyperlink w:history="1" r:id="rId9njovi1pcejacws3qf2ed">
        <w:r>
          <w:rPr>
            <w:u w:val="single" w:color="1155CC"/>
            <w:color w:val="1155CC"/>
            <w:sz w:val="22"/>
            <w:szCs w:val="22"/>
            <w:rFonts w:ascii="Arial" w:cs="Arial" w:eastAsia="Arial" w:hAnsi="Arial"/>
          </w:rPr>
          <w:t xml:space="preserve">Industry: R&amp;D investment cut by one third – Science|Business</w:t>
        </w:r>
      </w:hyperlink>
    </w:p>
    <w:p>
      <w:pPr>
        <w:pStyle w:val="ListParagraph"/>
        <w:numPr>
          <w:ilvl w:val="0"/>
          <w:numId w:val="2"/>
        </w:numPr>
        <w:spacing w:after="100" w:line="276"/>
        <w:ind w:left="720" w:hanging="360"/>
        <w:jc w:val="left"/>
      </w:pPr>
      <w:hyperlink w:history="1" r:id="rIdzpwbko_k9ta3gldfgm71r">
        <w:r>
          <w:rPr>
            <w:u w:val="single" w:color="1155CC"/>
            <w:color w:val="1155CC"/>
            <w:sz w:val="22"/>
            <w:szCs w:val="22"/>
            <w:rFonts w:ascii="Arial" w:cs="Arial" w:eastAsia="Arial" w:hAnsi="Arial"/>
          </w:rPr>
          <w:t xml:space="preserve">Rare Disease Landscape 2025 – IntuitionLabs</w:t>
        </w:r>
      </w:hyperlink>
    </w:p>
    <w:p>
      <w:pPr>
        <w:pStyle w:val="ListParagraph"/>
        <w:numPr>
          <w:ilvl w:val="0"/>
          <w:numId w:val="2"/>
        </w:numPr>
        <w:spacing w:after="100" w:line="276"/>
        <w:ind w:left="720" w:hanging="360"/>
        <w:jc w:val="left"/>
      </w:pPr>
      <w:hyperlink w:history="1" r:id="rIdumqxsumtirlkuv9rjk51b">
        <w:r>
          <w:rPr>
            <w:u w:val="single" w:color="1155CC"/>
            <w:color w:val="1155CC"/>
            <w:sz w:val="22"/>
            <w:szCs w:val="22"/>
            <w:rFonts w:ascii="Arial" w:cs="Arial" w:eastAsia="Arial" w:hAnsi="Arial"/>
          </w:rPr>
          <w:t xml:space="preserve">Germany Pharma Market Access – jstindt.com</w:t>
        </w:r>
      </w:hyperlink>
    </w:p>
    <w:p>
      <w:pPr>
        <w:pStyle w:val="ListParagraph"/>
        <w:numPr>
          <w:ilvl w:val="0"/>
          <w:numId w:val="2"/>
        </w:numPr>
        <w:spacing w:after="100" w:line="276"/>
        <w:ind w:left="720" w:hanging="360"/>
        <w:jc w:val="left"/>
      </w:pPr>
      <w:hyperlink w:history="1" r:id="rId0njvlzweefw9kjwcgsyio">
        <w:r>
          <w:rPr>
            <w:u w:val="single" w:color="1155CC"/>
            <w:color w:val="1155CC"/>
            <w:sz w:val="22"/>
            <w:szCs w:val="22"/>
            <w:rFonts w:ascii="Arial" w:cs="Arial" w:eastAsia="Arial" w:hAnsi="Arial"/>
          </w:rPr>
          <w:t xml:space="preserve">Germany Pharma Market – Mordor Intelligence, 2026</w:t>
        </w:r>
      </w:hyperlink>
    </w:p>
    <w:p>
      <w:pPr>
        <w:pStyle w:val="ListParagraph"/>
        <w:numPr>
          <w:ilvl w:val="0"/>
          <w:numId w:val="2"/>
        </w:numPr>
        <w:spacing w:after="100" w:line="276"/>
        <w:ind w:left="720" w:hanging="360"/>
        <w:jc w:val="left"/>
      </w:pPr>
      <w:hyperlink w:history="1" r:id="rIddktmq96r0up3onbn8hf2_">
        <w:r>
          <w:rPr>
            <w:u w:val="single" w:color="1155CC"/>
            <w:color w:val="1155CC"/>
            <w:sz w:val="22"/>
            <w:szCs w:val="22"/>
            <w:rFonts w:ascii="Arial" w:cs="Arial" w:eastAsia="Arial" w:hAnsi="Arial"/>
          </w:rPr>
          <w:t xml:space="preserve">HTA Orphan Drugs Germany – PMC, 2024</w:t>
        </w:r>
      </w:hyperlink>
    </w:p>
    <w:p>
      <w:pPr>
        <w:spacing w:before="160" w:after="80"/>
        <w:jc w:val="left"/>
      </w:pPr>
      <w:r>
        <w:rPr>
          <w:b/>
          <w:bCs/>
          <w:color w:val="1B2B4B"/>
          <w:sz w:val="23"/>
          <w:szCs w:val="23"/>
          <w:rFonts w:ascii="Arial" w:cs="Arial" w:eastAsia="Arial" w:hAnsi="Arial"/>
        </w:rPr>
        <w:t xml:space="preserve">Abschnitt 3 (Internationaler Vergleich):</w:t>
      </w:r>
    </w:p>
    <w:p>
      <w:pPr>
        <w:pStyle w:val="ListParagraph"/>
        <w:numPr>
          <w:ilvl w:val="0"/>
          <w:numId w:val="2"/>
        </w:numPr>
        <w:spacing w:after="100" w:line="276"/>
        <w:ind w:left="720" w:hanging="360"/>
        <w:jc w:val="left"/>
      </w:pPr>
      <w:hyperlink w:history="1" r:id="rIdtk0dkoq3lhuwd9nekadky">
        <w:r>
          <w:rPr>
            <w:u w:val="single" w:color="1155CC"/>
            <w:color w:val="1155CC"/>
            <w:sz w:val="22"/>
            <w:szCs w:val="22"/>
            <w:rFonts w:ascii="Arial" w:cs="Arial" w:eastAsia="Arial" w:hAnsi="Arial"/>
          </w:rPr>
          <w:t xml:space="preserve">EU/UK/US Orphan Drug Comparison – Somerville Partners, Februar 2026</w:t>
        </w:r>
      </w:hyperlink>
    </w:p>
    <w:p>
      <w:pPr>
        <w:pStyle w:val="ListParagraph"/>
        <w:numPr>
          <w:ilvl w:val="0"/>
          <w:numId w:val="2"/>
        </w:numPr>
        <w:spacing w:after="100" w:line="276"/>
        <w:ind w:left="720" w:hanging="360"/>
        <w:jc w:val="left"/>
      </w:pPr>
      <w:hyperlink w:history="1" r:id="rIdb9q12truvzvhtrlfxhxih">
        <w:r>
          <w:rPr>
            <w:u w:val="single" w:color="1155CC"/>
            <w:color w:val="1155CC"/>
            <w:sz w:val="22"/>
            <w:szCs w:val="22"/>
            <w:rFonts w:ascii="Arial" w:cs="Arial" w:eastAsia="Arial" w:hAnsi="Arial"/>
          </w:rPr>
          <w:t xml:space="preserve">Understanding Market Exclusivity – Cytel, September 2025</w:t>
        </w:r>
      </w:hyperlink>
    </w:p>
    <w:p>
      <w:pPr>
        <w:pStyle w:val="ListParagraph"/>
        <w:numPr>
          <w:ilvl w:val="0"/>
          <w:numId w:val="2"/>
        </w:numPr>
        <w:spacing w:after="100" w:line="276"/>
        <w:ind w:left="720" w:hanging="360"/>
        <w:jc w:val="left"/>
      </w:pPr>
      <w:hyperlink w:history="1" r:id="rIdoi0wr9jkhww4qkncxdptu">
        <w:r>
          <w:rPr>
            <w:u w:val="single" w:color="1155CC"/>
            <w:color w:val="1155CC"/>
            <w:sz w:val="22"/>
            <w:szCs w:val="22"/>
            <w:rFonts w:ascii="Arial" w:cs="Arial" w:eastAsia="Arial" w:hAnsi="Arial"/>
          </w:rPr>
          <w:t xml:space="preserve">Orphan Drug Act – NIH StatPearls</w:t>
        </w:r>
      </w:hyperlink>
    </w:p>
    <w:p>
      <w:pPr>
        <w:pStyle w:val="ListParagraph"/>
        <w:numPr>
          <w:ilvl w:val="0"/>
          <w:numId w:val="2"/>
        </w:numPr>
        <w:spacing w:after="100" w:line="276"/>
        <w:ind w:left="720" w:hanging="360"/>
        <w:jc w:val="left"/>
      </w:pPr>
      <w:hyperlink w:history="1" r:id="rIdllccqi6qssgmygwlw1ao0">
        <w:r>
          <w:rPr>
            <w:u w:val="single" w:color="1155CC"/>
            <w:color w:val="1155CC"/>
            <w:sz w:val="22"/>
            <w:szCs w:val="22"/>
            <w:rFonts w:ascii="Arial" w:cs="Arial" w:eastAsia="Arial" w:hAnsi="Arial"/>
          </w:rPr>
          <w:t xml:space="preserve">Japan Orphan Drug Designation – MHLW</w:t>
        </w:r>
      </w:hyperlink>
    </w:p>
    <w:p>
      <w:pPr>
        <w:pStyle w:val="ListParagraph"/>
        <w:numPr>
          <w:ilvl w:val="0"/>
          <w:numId w:val="2"/>
        </w:numPr>
        <w:spacing w:after="100" w:line="276"/>
        <w:ind w:left="720" w:hanging="360"/>
        <w:jc w:val="left"/>
      </w:pPr>
      <w:hyperlink w:history="1" r:id="rIdv17hlabpgwt3jyeiro5ix">
        <w:r>
          <w:rPr>
            <w:u w:val="single" w:color="1155CC"/>
            <w:color w:val="1155CC"/>
            <w:sz w:val="22"/>
            <w:szCs w:val="22"/>
            <w:rFonts w:ascii="Arial" w:cs="Arial" w:eastAsia="Arial" w:hAnsi="Arial"/>
          </w:rPr>
          <w:t xml:space="preserve">Japan Orphan Drug Lifecycle – PMC, 2022</w:t>
        </w:r>
      </w:hyperlink>
    </w:p>
    <w:p>
      <w:pPr>
        <w:pStyle w:val="ListParagraph"/>
        <w:numPr>
          <w:ilvl w:val="0"/>
          <w:numId w:val="2"/>
        </w:numPr>
        <w:spacing w:after="100" w:line="276"/>
        <w:ind w:left="720" w:hanging="360"/>
        <w:jc w:val="left"/>
      </w:pPr>
      <w:hyperlink w:history="1" r:id="rIdvah-t8jb0b3fuk95vnicf">
        <w:r>
          <w:rPr>
            <w:u w:val="single" w:color="1155CC"/>
            <w:color w:val="1155CC"/>
            <w:sz w:val="22"/>
            <w:szCs w:val="22"/>
            <w:rFonts w:ascii="Arial" w:cs="Arial" w:eastAsia="Arial" w:hAnsi="Arial"/>
          </w:rPr>
          <w:t xml:space="preserve">EMA Competitiveness Orphan Medicines – PMC, Oktober 2025</w:t>
        </w:r>
      </w:hyperlink>
    </w:p>
    <w:p>
      <w:pPr>
        <w:pStyle w:val="ListParagraph"/>
        <w:numPr>
          <w:ilvl w:val="0"/>
          <w:numId w:val="2"/>
        </w:numPr>
        <w:spacing w:after="100" w:line="276"/>
        <w:ind w:left="720" w:hanging="360"/>
        <w:jc w:val="left"/>
      </w:pPr>
      <w:hyperlink w:history="1" r:id="rIdgx3exgx4cjiazlh6ggbuf">
        <w:r>
          <w:rPr>
            <w:u w:val="single" w:color="1155CC"/>
            <w:color w:val="1155CC"/>
            <w:sz w:val="22"/>
            <w:szCs w:val="22"/>
            <w:rFonts w:ascii="Arial" w:cs="Arial" w:eastAsia="Arial" w:hAnsi="Arial"/>
          </w:rPr>
          <w:t xml:space="preserve">Revisiting the Orphan Drug Act – Commonwealth Fund, November 2025</w:t>
        </w:r>
      </w:hyperlink>
    </w:p>
    <w:p>
      <w:pPr>
        <w:pStyle w:val="ListParagraph"/>
        <w:numPr>
          <w:ilvl w:val="0"/>
          <w:numId w:val="2"/>
        </w:numPr>
        <w:spacing w:after="100" w:line="276"/>
        <w:ind w:left="720" w:hanging="360"/>
        <w:jc w:val="left"/>
      </w:pPr>
      <w:hyperlink w:history="1" r:id="rIdymowlggze6muzugkx6y1o">
        <w:r>
          <w:rPr>
            <w:u w:val="single" w:color="1155CC"/>
            <w:color w:val="1155CC"/>
            <w:sz w:val="22"/>
            <w:szCs w:val="22"/>
            <w:rFonts w:ascii="Arial" w:cs="Arial" w:eastAsia="Arial" w:hAnsi="Arial"/>
          </w:rPr>
          <w:t xml:space="preserve">EURORDIS: What is a rare disease?</w:t>
        </w:r>
      </w:hyperlink>
    </w:p>
    <w:p>
      <w:pPr>
        <w:spacing w:before="160" w:after="80"/>
        <w:jc w:val="left"/>
      </w:pPr>
      <w:r>
        <w:rPr>
          <w:b/>
          <w:bCs/>
          <w:color w:val="1B2B4B"/>
          <w:sz w:val="23"/>
          <w:szCs w:val="23"/>
          <w:rFonts w:ascii="Arial" w:cs="Arial" w:eastAsia="Arial" w:hAnsi="Arial"/>
        </w:rPr>
        <w:t xml:space="preserve">Abschnitt 4–8 (Optionsanalyse, Empfehlungen):</w:t>
      </w:r>
    </w:p>
    <w:p>
      <w:pPr>
        <w:pStyle w:val="ListParagraph"/>
        <w:numPr>
          <w:ilvl w:val="0"/>
          <w:numId w:val="2"/>
        </w:numPr>
        <w:spacing w:after="100" w:line="276"/>
        <w:ind w:left="720" w:hanging="360"/>
        <w:jc w:val="left"/>
      </w:pPr>
      <w:hyperlink w:history="1" r:id="rIdogqwwcyzsme7cmdqf3bi4">
        <w:r>
          <w:rPr>
            <w:u w:val="single" w:color="1155CC"/>
            <w:color w:val="1155CC"/>
            <w:sz w:val="22"/>
            <w:szCs w:val="22"/>
            <w:rFonts w:ascii="Arial" w:cs="Arial" w:eastAsia="Arial" w:hAnsi="Arial"/>
          </w:rPr>
          <w:t xml:space="preserve">EU Pharma Package Competitiveness – EFPIA/AgencyIQ by POLITICO</w:t>
        </w:r>
      </w:hyperlink>
    </w:p>
    <w:p>
      <w:pPr>
        <w:pStyle w:val="ListParagraph"/>
        <w:numPr>
          <w:ilvl w:val="0"/>
          <w:numId w:val="2"/>
        </w:numPr>
        <w:spacing w:after="100" w:line="276"/>
        <w:ind w:left="720" w:hanging="360"/>
        <w:jc w:val="left"/>
      </w:pPr>
      <w:hyperlink w:history="1" r:id="rIdplf-squftrkzdyk2ne1l0">
        <w:r>
          <w:rPr>
            <w:u w:val="single" w:color="1155CC"/>
            <w:color w:val="1155CC"/>
            <w:sz w:val="22"/>
            <w:szCs w:val="22"/>
            <w:rFonts w:ascii="Arial" w:cs="Arial" w:eastAsia="Arial" w:hAnsi="Arial"/>
          </w:rPr>
          <w:t xml:space="preserve">European Legislators Agreement – Fierce Pharma, Dezember 2025</w:t>
        </w:r>
      </w:hyperlink>
    </w:p>
    <w:p>
      <w:pPr>
        <w:pStyle w:val="ListParagraph"/>
        <w:numPr>
          <w:ilvl w:val="0"/>
          <w:numId w:val="2"/>
        </w:numPr>
        <w:spacing w:after="100" w:line="276"/>
        <w:ind w:left="720" w:hanging="360"/>
        <w:jc w:val="left"/>
      </w:pPr>
      <w:hyperlink w:history="1" r:id="rIddvuhz2idp4bba4adje3na">
        <w:r>
          <w:rPr>
            <w:u w:val="single" w:color="1155CC"/>
            <w:color w:val="1155CC"/>
            <w:sz w:val="22"/>
            <w:szCs w:val="22"/>
            <w:rFonts w:ascii="Arial" w:cs="Arial" w:eastAsia="Arial" w:hAnsi="Arial"/>
          </w:rPr>
          <w:t xml:space="preserve">EU Pharma Deal Mixed Reception – Science|Business, Dezember 2025</w:t>
        </w:r>
      </w:hyperlink>
    </w:p>
    <w:p>
      <w:pPr>
        <w:pStyle w:val="ListParagraph"/>
        <w:numPr>
          <w:ilvl w:val="0"/>
          <w:numId w:val="2"/>
        </w:numPr>
        <w:spacing w:after="100" w:line="276"/>
        <w:ind w:left="720" w:hanging="360"/>
        <w:jc w:val="left"/>
      </w:pPr>
      <w:hyperlink w:history="1" r:id="rIdb0wbxk5x_xznbhrrn0eat">
        <w:r>
          <w:rPr>
            <w:u w:val="single" w:color="1155CC"/>
            <w:color w:val="1155CC"/>
            <w:sz w:val="22"/>
            <w:szCs w:val="22"/>
            <w:rFonts w:ascii="Arial" w:cs="Arial" w:eastAsia="Arial" w:hAnsi="Arial"/>
          </w:rPr>
          <w:t xml:space="preserve">EU Pharma Legislation Competitiveness – Pharmaceutical Technology, Dezember 2025</w:t>
        </w:r>
      </w:hyperlink>
    </w:p>
    <w:p>
      <w:pPr>
        <w:pStyle w:val="ListParagraph"/>
        <w:numPr>
          <w:ilvl w:val="0"/>
          <w:numId w:val="2"/>
        </w:numPr>
        <w:spacing w:after="100" w:line="276"/>
        <w:ind w:left="720" w:hanging="360"/>
        <w:jc w:val="left"/>
      </w:pPr>
      <w:hyperlink w:history="1" r:id="rIdcm4zustxxwktmljtcy6s_">
        <w:r>
          <w:rPr>
            <w:u w:val="single" w:color="1155CC"/>
            <w:color w:val="1155CC"/>
            <w:sz w:val="22"/>
            <w:szCs w:val="22"/>
            <w:rFonts w:ascii="Arial" w:cs="Arial" w:eastAsia="Arial" w:hAnsi="Arial"/>
          </w:rPr>
          <w:t xml:space="preserve">EU Clinches Pharma Reform – Health Policy Watch, Dezember 2025</w:t>
        </w:r>
      </w:hyperlink>
    </w:p>
    <w:p>
      <w:pPr>
        <w:pStyle w:val="ListParagraph"/>
        <w:numPr>
          <w:ilvl w:val="0"/>
          <w:numId w:val="2"/>
        </w:numPr>
        <w:spacing w:after="100" w:line="276"/>
        <w:ind w:left="720" w:hanging="360"/>
        <w:jc w:val="left"/>
      </w:pPr>
      <w:hyperlink w:history="1" r:id="rIdw2j0wp_rlcodx2ekucmmp">
        <w:r>
          <w:rPr>
            <w:u w:val="single" w:color="1155CC"/>
            <w:color w:val="1155CC"/>
            <w:sz w:val="22"/>
            <w:szCs w:val="22"/>
            <w:rFonts w:ascii="Arial" w:cs="Arial" w:eastAsia="Arial" w:hAnsi="Arial"/>
          </w:rPr>
          <w:t xml:space="preserve">ITIF: Lessons from Europe's Biopharma Loss – März 2026</w:t>
        </w:r>
      </w:hyperlink>
    </w:p>
    <w:p>
      <w:pPr>
        <w:pStyle w:val="ListParagraph"/>
        <w:numPr>
          <w:ilvl w:val="0"/>
          <w:numId w:val="2"/>
        </w:numPr>
        <w:spacing w:after="100" w:line="276"/>
        <w:ind w:left="720" w:hanging="360"/>
        <w:jc w:val="left"/>
      </w:pPr>
      <w:hyperlink w:history="1" r:id="rIdct2pz26gbxu8oxgfjylu5">
        <w:r>
          <w:rPr>
            <w:u w:val="single" w:color="1155CC"/>
            <w:color w:val="1155CC"/>
            <w:sz w:val="22"/>
            <w:szCs w:val="22"/>
            <w:rFonts w:ascii="Arial" w:cs="Arial" w:eastAsia="Arial" w:hAnsi="Arial"/>
          </w:rPr>
          <w:t xml:space="preserve">EFPIA Biotech Act Annex</w:t>
        </w:r>
      </w:hyperlink>
    </w:p>
    <w:p>
      <w:pPr>
        <w:pStyle w:val="ListParagraph"/>
        <w:numPr>
          <w:ilvl w:val="0"/>
          <w:numId w:val="2"/>
        </w:numPr>
        <w:spacing w:after="100" w:line="276"/>
        <w:ind w:left="720" w:hanging="360"/>
        <w:jc w:val="left"/>
      </w:pPr>
      <w:hyperlink w:history="1" r:id="rIdyaf8raebkfbhzm4iifb_e">
        <w:r>
          <w:rPr>
            <w:u w:val="single" w:color="1155CC"/>
            <w:color w:val="1155CC"/>
            <w:sz w:val="22"/>
            <w:szCs w:val="22"/>
            <w:rFonts w:ascii="Arial" w:cs="Arial" w:eastAsia="Arial" w:hAnsi="Arial"/>
          </w:rPr>
          <w:t xml:space="preserve">Europe Biopharma Funding Decline – DDW, September 2025</w:t>
        </w:r>
      </w:hyperlink>
    </w:p>
    <w:p>
      <w:pPr>
        <w:pStyle w:val="Heading3"/>
        <w:spacing w:before="160" w:after="80"/>
        <w:jc w:val="left"/>
      </w:pPr>
      <w:r>
        <w:rPr>
          <w:b/>
          <w:bCs/>
          <w:color w:val="1B2B4B"/>
          <w:sz w:val="23"/>
          <w:szCs w:val="23"/>
          <w:rFonts w:ascii="Arial" w:cs="Arial" w:eastAsia="Arial" w:hAnsi="Arial"/>
        </w:rPr>
        <w:t xml:space="preserve">Anhang D: Forschungsagenda — Verifizierung erforderlich</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11"/>
      </w:tblGrid>
      <w:tr>
        <w:trPr>
          <w:tblHeader/>
        </w:trPr>
        <w:tc>
          <w:tcPr>
            <w:tcW w:type="dxa" w:w="2409"/>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Nr.</w:t>
            </w:r>
          </w:p>
        </w:tc>
        <w:tc>
          <w:tcPr>
            <w:tcW w:type="dxa" w:w="2409"/>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Behauptung im Papier</w:t>
            </w:r>
          </w:p>
        </w:tc>
        <w:tc>
          <w:tcPr>
            <w:tcW w:type="dxa" w:w="2409"/>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Zu konsultierende Quelle</w:t>
            </w:r>
          </w:p>
        </w:tc>
        <w:tc>
          <w:tcPr>
            <w:tcW w:type="dxa" w:w="2411"/>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Priorität</w:t>
            </w:r>
          </w:p>
        </w:tc>
      </w:tr>
      <w:tr>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1</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Genaue Anzahl der deutschen Orphan-Drug-Pipeline-Kandidaten, die von der 9-Jahres-Regel betroffen wären</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BfArM/PEI-Datenbanken; vfa-Statistiken</w:t>
            </w:r>
          </w:p>
        </w:tc>
        <w:tc>
          <w:tcPr>
            <w:tcW w:type="dxa" w:w="2411"/>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Hoch</w:t>
            </w:r>
          </w:p>
        </w:tc>
      </w:tr>
      <w:tr>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Exakter Finanzierungsvolumen des vorgeschlagenen KMU-Förderprogramms (50 Mio. Euro/Jahr) — derzeit Schätzung</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BMG Haushaltsplanung; Vergleich mit Horizon Europe Rare Disease Förderung</w:t>
            </w:r>
          </w:p>
        </w:tc>
        <w:tc>
          <w:tcPr>
            <w:tcW w:type="dxa" w:w="2411"/>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Mittel</w:t>
            </w:r>
          </w:p>
        </w:tc>
      </w:tr>
      <w:tr>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3</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Südkoreas exakte Orphan-Drug-Exklusivitätsfrist und aktuelle Reformen</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MFDS Korea offizielle Regelwerke (koreanischsprachig)</w:t>
            </w:r>
          </w:p>
        </w:tc>
        <w:tc>
          <w:tcPr>
            <w:tcW w:type="dxa" w:w="2411"/>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Niedrig</w:t>
            </w:r>
          </w:p>
        </w:tc>
      </w:tr>
      <w:tr>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4</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Aktueller Stand der Koalitionsbildung gleichgesinnter Mitgliedstaaten im Rat zur Orphan-Exklusivitätsfrist</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Ständige Vertretung Berlin/Brüssel; Ratsprotokolle (nicht-öffentlich)</w:t>
            </w:r>
          </w:p>
        </w:tc>
        <w:tc>
          <w:tcPr>
            <w:tcW w:type="dxa" w:w="2411"/>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Hoch</w:t>
            </w:r>
          </w:p>
        </w:tc>
      </w:tr>
      <w:tr>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5</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Auswirkung der Absenkung der AMNOG-Umsatzschwelle auf 30 Mio. Euro auf die Bewertungsergebnisse speziell für Orphan Drugs nach 2023</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G-BA Beschlussdatenbank; IQWiG Berichte</w:t>
            </w:r>
          </w:p>
        </w:tc>
        <w:tc>
          <w:tcPr>
            <w:tcW w:type="dxa" w:w="2411"/>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Mittel</w:t>
            </w:r>
          </w:p>
        </w:tc>
      </w:tr>
      <w:tr>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6</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Genaue Position der Bundesregierung in der Ratsverhandlung zum Orphan-Exklusivitätszeitraum (Dezember 2025)</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Bundesratsdrucksachen; BMG Korrespondenz</w:t>
            </w:r>
          </w:p>
        </w:tc>
        <w:tc>
          <w:tcPr>
            <w:tcW w:type="dxa" w:w="2411"/>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Hoch</w:t>
            </w:r>
          </w:p>
        </w:tc>
      </w:tr>
    </w:tbl>
    <w:p>
      <w:pPr>
        <w:spacing w:after="80" w:line="240"/>
        <w:jc w:val="left"/>
      </w:pPr>
      <w:r>
        <w:rPr>
          <w:sz w:val="22"/>
          <w:szCs w:val="22"/>
          <w:rFonts w:ascii="Arial" w:cs="Arial" w:eastAsia="Arial" w:hAnsi="Arial"/>
        </w:rPr>
      </w:r>
    </w:p>
    <w:p>
      <w:pPr>
        <w:pBdr>
          <w:bottom w:val="single" w:color="D0D0D0" w:sz="4" w:space="2"/>
        </w:pBdr>
        <w:spacing w:after="100"/>
        <w:jc w:val="left"/>
      </w:pPr>
      <w:r>
        <w:rPr>
          <w:sz w:val="22"/>
          <w:szCs w:val="22"/>
          <w:rFonts w:ascii="Arial" w:cs="Arial" w:eastAsia="Arial" w:hAnsi="Arial"/>
        </w:rPr>
      </w:r>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AI-GENERIERTES DOKUMENT — HAFTUNGSAUSSCHLUSS</w:t>
      </w:r>
    </w:p>
    <w:p>
      <w:pPr>
        <w:spacing w:after="140" w:line="276"/>
        <w:jc w:val="left"/>
      </w:pPr>
      <w:r>
        <w:rPr>
          <w:sz w:val="22"/>
          <w:szCs w:val="22"/>
          <w:rFonts w:ascii="Arial" w:cs="Arial" w:eastAsia="Arial" w:hAnsi="Arial"/>
        </w:rPr>
        <w:t xml:space="preserve">Dieses Positionspapier wurde mit Unterstützung von Künstlicher Intelligenz erstellt. Es dient ausschließlich als Forschungs- und Entwurfshilfe. Alle Tatsachenbehauptungen, Zitate, Rechtsverweise und politischen Analysen sollten vor der Einreichung oder Veröffentlichung unabhängig von einer qualifizierten Fachperson überprüft und verifiziert werden.</w:t>
      </w:r>
    </w:p>
    <w:p>
      <w:pPr>
        <w:pBdr>
          <w:bottom w:val="single" w:color="D0D0D0" w:sz="4" w:space="2"/>
        </w:pBdr>
        <w:spacing w:after="100"/>
        <w:jc w:val="left"/>
      </w:pPr>
      <w:r>
        <w:rPr>
          <w:sz w:val="22"/>
          <w:szCs w:val="22"/>
          <w:rFonts w:ascii="Arial" w:cs="Arial" w:eastAsia="Arial" w:hAnsi="Arial"/>
        </w:rPr>
      </w: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0D0" w:sz="6" w:space="4"/>
      </w:pBdr>
      <w:jc w:val="right"/>
    </w:pPr>
    <w:r>
      <w:rPr>
        <w:color w:val="888888"/>
        <w:sz w:val="18"/>
        <w:szCs w:val="18"/>
        <w:rFonts w:ascii="Arial" w:cs="Arial" w:eastAsia="Arial" w:hAnsi="Arial"/>
      </w:rPr>
      <w:t xml:space="preserve">Page </w:t>
    </w:r>
    <w:r>
      <w:rPr>
        <w:color w:val="888888"/>
        <w:sz w:val="18"/>
        <w:szCs w:val="18"/>
        <w:rFonts w:ascii="Arial" w:cs="Arial" w:eastAsia="Arial" w:hAnsi="Arial"/>
      </w:rPr>
      <w:fldChar w:fldCharType="begin"/>
      <w:instrText xml:space="preserve">PAGE</w:instrText>
      <w:fldChar w:fldCharType="separate"/>
      <w:fldChar w:fldCharType="end"/>
    </w:r>
    <w:r>
      <w:rPr>
        <w:color w:val="888888"/>
        <w:sz w:val="18"/>
        <w:szCs w:val="18"/>
        <w:rFonts w:ascii="Arial" w:cs="Arial" w:eastAsia="Arial" w:hAnsi="Arial"/>
      </w:rPr>
      <w:t xml:space="preserve"> of </w:t>
    </w:r>
    <w:r>
      <w:rPr>
        <w:color w:val="888888"/>
        <w:sz w:val="18"/>
        <w:szCs w:val="18"/>
        <w:rFonts w:ascii="Arial" w:cs="Arial" w:eastAsia="Arial" w:hAnsi="Arial"/>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0D0D0" w:sz="6" w:space="4"/>
      </w:pBdr>
      <w:spacing w:after="0"/>
      <w:jc w:val="left"/>
    </w:pPr>
    <w:r>
      <w:rPr>
        <w:b/>
        <w:bCs/>
        <w:color w:val="888888"/>
        <w:sz w:val="18"/>
        <w:szCs w:val="18"/>
        <w:rFonts w:ascii="Arial" w:cs="Arial" w:eastAsia="Arial" w:hAnsi="Arial"/>
      </w:rPr>
      <w:t xml:space="preserve">Helix Biotech GmbH</w:t>
    </w:r>
    <w:r>
      <w:rPr>
        <w:color w:val="bbbbbb"/>
        <w:sz w:val="18"/>
        <w:szCs w:val="18"/>
        <w:rFonts w:ascii="Arial" w:cs="Arial" w:eastAsia="Arial" w:hAnsi="Arial"/>
      </w:rPr>
      <w:t xml:space="preserve">  |  </w:t>
    </w:r>
    <w:r>
      <w:rPr>
        <w:color w:val="888888"/>
        <w:sz w:val="18"/>
        <w:szCs w:val="18"/>
        <w:rFonts w:ascii="Arial" w:cs="Arial" w:eastAsia="Arial" w:hAnsi="Arial"/>
      </w:rPr>
      <w:t xml:space="preserve">Gegen die Kürzung der Marktexklusivität für Orphan-Arzneimittel im EU-Pharmapaket 2026: Schutz der Innovationsanreize für seltene Erkrankungen und der Wettbewerbsfähigkeit des deutschen Biotechnologiestandorts</w:t>
    </w:r>
    <w:r>
      <w:rPr>
        <w:color w:val="bbbbbb"/>
        <w:sz w:val="18"/>
        <w:szCs w:val="18"/>
        <w:rFonts w:ascii="Arial" w:cs="Arial" w:eastAsia="Arial" w:hAnsi="Arial"/>
      </w:rPr>
      <w:t xml:space="preserve">  |  </w:t>
    </w:r>
    <w:r>
      <w:rPr>
        <w:color w:val="888888"/>
        <w:sz w:val="18"/>
        <w:szCs w:val="18"/>
        <w:rFonts w:ascii="Arial" w:cs="Arial" w:eastAsia="Arial" w:hAnsi="Arial"/>
      </w:rPr>
      <w:t xml:space="preserve">Deutschland / Europäische Union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Fonts w:ascii="Arial" w:cs="Arial" w:eastAsia="Arial" w:hAnsi="Arial"/>
      </w:rPr>
    </w:rPrDefault>
    <w:pPrDefault>
      <w:pPr>
        <w:jc w:val="left"/>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ListParagraph">
    <w:name w:val="List Paragraph"/>
    <w:basedOn w:val="Normal"/>
    <w:next w:val="Normal"/>
    <w:qFormat/>
    <w:pPr>
      <w:ind w:left="0" w:right="0"/>
      <w:jc w:val="left"/>
    </w:pPr>
    <w:rPr>
      <w:sz w:val="22"/>
      <w:szCs w:val="22"/>
      <w:rFonts w:ascii="Arial" w:cs="Arial" w:eastAsia="Arial" w:hAnsi="Arial"/>
    </w:rPr>
  </w:style>
  <w:style w:type="paragraph" w:styleId="Heading1">
    <w:name w:val="Heading 1"/>
    <w:basedOn w:val="Normal"/>
    <w:next w:val="Normal"/>
    <w:qFormat/>
    <w:pPr>
      <w:spacing w:before="300" w:after="160"/>
      <w:jc w:val="left"/>
      <w:outlineLvl w:val="0"/>
    </w:pPr>
    <w:rPr>
      <w:b/>
      <w:bCs/>
      <w:color w:val="1B2B4B"/>
      <w:sz w:val="36"/>
      <w:szCs w:val="36"/>
      <w:rFonts w:ascii="Arial" w:cs="Arial" w:eastAsia="Arial" w:hAnsi="Arial"/>
    </w:rPr>
  </w:style>
  <w:style w:type="paragraph" w:styleId="Heading2">
    <w:name w:val="Heading 2"/>
    <w:basedOn w:val="Normal"/>
    <w:next w:val="Normal"/>
    <w:qFormat/>
    <w:pPr>
      <w:spacing w:before="200" w:after="100"/>
      <w:jc w:val="left"/>
      <w:outlineLvl w:val="1"/>
    </w:pPr>
    <w:rPr>
      <w:b/>
      <w:bCs/>
      <w:color w:val="1B2B4B"/>
      <w:sz w:val="26"/>
      <w:szCs w:val="26"/>
      <w:rFonts w:ascii="Arial" w:cs="Arial" w:eastAsia="Arial" w:hAnsi="Arial"/>
    </w:rPr>
  </w:style>
  <w:style w:type="paragraph" w:styleId="Heading3">
    <w:name w:val="Heading 3"/>
    <w:basedOn w:val="Normal"/>
    <w:next w:val="Normal"/>
    <w:qFormat/>
    <w:pPr>
      <w:spacing w:before="160" w:after="80"/>
      <w:jc w:val="left"/>
      <w:outlineLvl w:val="2"/>
    </w:pPr>
    <w:rPr>
      <w:b/>
      <w:bCs/>
      <w:color w:val="1B2B4B"/>
      <w:sz w:val="23"/>
      <w:szCs w:val="23"/>
      <w:rFonts w:ascii="Arial" w:cs="Arial" w:eastAsia="Arial" w:hAnsi="Arial"/>
    </w:rPr>
  </w:style>
  <w:style w:type="paragraph" w:default="1" w:styleId="Normal">
    <w:name w:val="Normal"/>
    <w:pPr>
      <w:jc w:val="left"/>
    </w:pPr>
    <w:rPr>
      <w:lang w:val="en-US"/>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acr0im5d4rwd6zbi18ron" Type="http://schemas.openxmlformats.org/officeDocument/2006/relationships/hyperlink" Target="https://www.efpia.eu/news-events/the-efpia-view/statements-press-releases/orphan-medicines-how-the-draft-pharmaceutical-legislation-proposals-would-impact-rare-disease-patients/" TargetMode="External"/><Relationship Id="rIdytdd9neqyvznrkuadqwo4" Type="http://schemas.openxmlformats.org/officeDocument/2006/relationships/hyperlink" Target="https://www.efpia.eu/news-events/the-efpia-view/efpia-news/europe-s-share-of-global-medicines-rd-shrinks-by-a-quarter-in-20-years-as-sector-s-declining-trends-continue/" TargetMode="External"/><Relationship Id="rIddukf0ktzlj_biraizvks3" Type="http://schemas.openxmlformats.org/officeDocument/2006/relationships/hyperlink" Target="https://jstindt.com/2025-german-pharma-industry-and-market-access/" TargetMode="External"/><Relationship Id="rIdxgwox0beew1e4k3khh6vz" Type="http://schemas.openxmlformats.org/officeDocument/2006/relationships/hyperlink" Target="https://www.ema.europa.eu/en/human-regulatory-overview/post-authorisation/orphan-designation-post-authorisation/market-exclusivity-orphan-medicines" TargetMode="External"/><Relationship Id="rIdazyxpqmo85ugp7imehfjx" Type="http://schemas.openxmlformats.org/officeDocument/2006/relationships/hyperlink" Target="https://www.pharmafocuseurope.com/news/eu-council-publishes-final-2026-pharma-package-new-regulatory-framework-for-medicinal-products" TargetMode="External"/><Relationship Id="rIdg47tynck8rrmgk7sq0nby" Type="http://schemas.openxmlformats.org/officeDocument/2006/relationships/hyperlink" Target="https://www.ncbi.nlm.nih.gov/books/NBK572052/" TargetMode="External"/><Relationship Id="rIdjxe8qrwb0602jixphpmhg" Type="http://schemas.openxmlformats.org/officeDocument/2006/relationships/hyperlink" Target="https://www.mhlw.go.jp/english/policy/health-medical/pharmaceuticals/orphan_drug.html" TargetMode="External"/><Relationship Id="rIdwxcrmbq4ypbuog2eqbaqu" Type="http://schemas.openxmlformats.org/officeDocument/2006/relationships/hyperlink" Target="https://somerville-partners.com/eu-uk-us-regulatory-approaches-orphan-drugs/" TargetMode="External"/><Relationship Id="rId4oiwyyc6rfyzv51nz2edn" Type="http://schemas.openxmlformats.org/officeDocument/2006/relationships/hyperlink" Target="https://www.pmda.go.jp/english/rs-sb-std/rs/0008.html" TargetMode="External"/><Relationship Id="rIdzeug0gszfkwcnwehczlxb" Type="http://schemas.openxmlformats.org/officeDocument/2006/relationships/hyperlink" Target="https://www.hoganlovells.com/en/publications/eu-pharma-law-package-council-position-on-reduction-of-regulatory-exclusivity-rights-" TargetMode="External"/><Relationship Id="rIdtxwqmiadhmmpq2tx2k2bk" Type="http://schemas.openxmlformats.org/officeDocument/2006/relationships/hyperlink" Target="https://sciencebusiness.net/news/drug-development/industry-says-new-pharma-legislation-could-cut-europes-share-rd-one-third" TargetMode="External"/><Relationship Id="rIde1d07s2b_w-zgmm9zpsvh" Type="http://schemas.openxmlformats.org/officeDocument/2006/relationships/hyperlink" Target="https://www.osborneclarke.com/insights/eu-overhauls-pharmaceutical-law-sweeping-2026-reform-package" TargetMode="External"/><Relationship Id="rId6kznhlsazaqrwdxizmvhg" Type="http://schemas.openxmlformats.org/officeDocument/2006/relationships/hyperlink" Target="https://www.ropesgray.com/en/insights/alerts/2026/03/unpacking-the-eu-pharma-package" TargetMode="External"/><Relationship Id="rId64stjolzraecedtmlbadm" Type="http://schemas.openxmlformats.org/officeDocument/2006/relationships/hyperlink" Target="https://www.pharmafocuseurope.com/news/eu-council-publishes-final-2026-pharma-package-new-regulatory-framework-for-medicinal-products" TargetMode="External"/><Relationship Id="rIdesyiva2zp2nyqmmvqpqsi" Type="http://schemas.openxmlformats.org/officeDocument/2006/relationships/hyperlink" Target="https://eip.com/uk/thought-leadership/provisional-agreement-reached-on-the-eu-pharma-package-takeaways-for-pharmaceutical-companies" TargetMode="External"/><Relationship Id="rIddxnsnkovw3gw2guxcr_d9" Type="http://schemas.openxmlformats.org/officeDocument/2006/relationships/hyperlink" Target="https://www.ema.europa.eu/en/human-regulatory-overview/post-authorisation/orphan-designation-post-authorisation/market-exclusivity-orphan-medicines" TargetMode="External"/><Relationship Id="rIdqpb6seiohm46jno9d-ezo" Type="http://schemas.openxmlformats.org/officeDocument/2006/relationships/hyperlink" Target="https://www.cooley.com/news/insight/2025/2025-12-18-eu-pharma-reform-we-have-a-deal" TargetMode="External"/><Relationship Id="rId8e0h_kiippxx0hvblsgb0" Type="http://schemas.openxmlformats.org/officeDocument/2006/relationships/hyperlink" Target="https://www.sidley.com/en/insights/newsupdates/2025/12/eu-pharma-package---sharp-new-tools-with-limited-protections" TargetMode="External"/><Relationship Id="rIdmagsonkxwrjbjnzh2jck-" Type="http://schemas.openxmlformats.org/officeDocument/2006/relationships/hyperlink" Target="https://biotalk.twobirds.com/post/102jfuq/new-eu-pharmaceutical-reform-key-changes-and-impacts-on-orphan-medicinal-product" TargetMode="External"/><Relationship Id="rIdqo9cvdbxihqqwoqufglt5" Type="http://schemas.openxmlformats.org/officeDocument/2006/relationships/hyperlink" Target="https://www.crowell.com/en/insights/client-alerts/eu-pharma-package-global-orphan-marketing-authorization-compromise-proposal" TargetMode="External"/><Relationship Id="rIdir5sc3jlzihoomk1zuwrc" Type="http://schemas.openxmlformats.org/officeDocument/2006/relationships/hyperlink" Target="https://www.hoganlovells.com/en/publications/eu-pharma-law-package-council-position-on-reduction-of-regulatory-exclusivity-rights-" TargetMode="External"/><Relationship Id="rId7pu6ocli2_vlrorgeop70" Type="http://schemas.openxmlformats.org/officeDocument/2006/relationships/hyperlink" Target="https://www.efpia.eu/news-events/the-efpia-view/statements-press-releases/orphan-medicines-how-the-draft-pharmaceutical-legislation-proposals-would-impact-rare-disease-patients/" TargetMode="External"/><Relationship Id="rId-kb9pdhzjy4s_tzendmy5" Type="http://schemas.openxmlformats.org/officeDocument/2006/relationships/hyperlink" Target="https://www.efpia.eu/news-events/the-efpia-view/efpia-news/europe-s-share-of-global-medicines-rd-shrinks-by-a-quarter-in-20-years-as-sector-s-declining-trends-continue/" TargetMode="External"/><Relationship Id="rId9njovi1pcejacws3qf2ed" Type="http://schemas.openxmlformats.org/officeDocument/2006/relationships/hyperlink" Target="https://sciencebusiness.net/news/drug-development/industry-says-new-pharma-legislation-could-cut-europes-share-rd-one-third" TargetMode="External"/><Relationship Id="rIdzpwbko_k9ta3gldfgm71r" Type="http://schemas.openxmlformats.org/officeDocument/2006/relationships/hyperlink" Target="https://intuitionlabs.ai/articles/rare-disease-landscape-2025" TargetMode="External"/><Relationship Id="rIdumqxsumtirlkuv9rjk51b" Type="http://schemas.openxmlformats.org/officeDocument/2006/relationships/hyperlink" Target="https://jstindt.com/2025-german-pharma-industry-and-market-access/" TargetMode="External"/><Relationship Id="rId0njvlzweefw9kjwcgsyio" Type="http://schemas.openxmlformats.org/officeDocument/2006/relationships/hyperlink" Target="https://www.mordorintelligence.com/industry-reports/germany-pharmaceutical-market" TargetMode="External"/><Relationship Id="rIddktmq96r0up3onbn8hf2_" Type="http://schemas.openxmlformats.org/officeDocument/2006/relationships/hyperlink" Target="https://pmc.ncbi.nlm.nih.gov/articles/PMC11703625/" TargetMode="External"/><Relationship Id="rIdtk0dkoq3lhuwd9nekadky" Type="http://schemas.openxmlformats.org/officeDocument/2006/relationships/hyperlink" Target="https://somerville-partners.com/eu-uk-us-regulatory-approaches-orphan-drugs/" TargetMode="External"/><Relationship Id="rIdb9q12truvzvhtrlfxhxih" Type="http://schemas.openxmlformats.org/officeDocument/2006/relationships/hyperlink" Target="https://cytel.com/perspectives/understanding-market-exclusivity-for-orphan-drug-products/" TargetMode="External"/><Relationship Id="rIdoi0wr9jkhww4qkncxdptu" Type="http://schemas.openxmlformats.org/officeDocument/2006/relationships/hyperlink" Target="https://www.ncbi.nlm.nih.gov/books/NBK572052/" TargetMode="External"/><Relationship Id="rIdllccqi6qssgmygwlw1ao0" Type="http://schemas.openxmlformats.org/officeDocument/2006/relationships/hyperlink" Target="https://www.mhlw.go.jp/english/policy/health-medical/pharmaceuticals/orphan_drug.html" TargetMode="External"/><Relationship Id="rIdv17hlabpgwt3jyeiro5ix" Type="http://schemas.openxmlformats.org/officeDocument/2006/relationships/hyperlink" Target="https://pmc.ncbi.nlm.nih.gov/articles/PMC9336109/" TargetMode="External"/><Relationship Id="rIdvah-t8jb0b3fuk95vnicf" Type="http://schemas.openxmlformats.org/officeDocument/2006/relationships/hyperlink" Target="https://pmc.ncbi.nlm.nih.gov/articles/PMC12570519/" TargetMode="External"/><Relationship Id="rIdgx3exgx4cjiazlh6ggbuf" Type="http://schemas.openxmlformats.org/officeDocument/2006/relationships/hyperlink" Target="https://www.commonwealthfund.org/publications/issue-briefs/2025/nov/revisiting-orphan-drug-act" TargetMode="External"/><Relationship Id="rIdymowlggze6muzugkx6y1o" Type="http://schemas.openxmlformats.org/officeDocument/2006/relationships/hyperlink" Target="https://www.eurordis.org/information-support/what-is-a-rare-disease/" TargetMode="External"/><Relationship Id="rIdogqwwcyzsme7cmdqf3bi4" Type="http://schemas.openxmlformats.org/officeDocument/2006/relationships/hyperlink" Target="https://www.agencyiq.com/blog/what-will-the-orphan-drug-market-exclusivity-haircut-mean-for-industry/" TargetMode="External"/><Relationship Id="rIdplf-squftrkzdyk2ne1l0" Type="http://schemas.openxmlformats.org/officeDocument/2006/relationships/hyperlink" Target="https://www.fiercepharma.com/pharma/european-legislators-reach-agreement-sweeping-pharma-policy-overhaul" TargetMode="External"/><Relationship Id="rIddvuhz2idp4bba4adje3na" Type="http://schemas.openxmlformats.org/officeDocument/2006/relationships/hyperlink" Target="https://sciencebusiness.net/news/drug-development/eu-pharmaceutical-deal-gets-mixed-reception" TargetMode="External"/><Relationship Id="rIdb0wbxk5x_xznbhrrn0eat" Type="http://schemas.openxmlformats.org/officeDocument/2006/relationships/hyperlink" Target="https://www.pharmaceutical-technology.com/news/eu-inches-closer-to-new-pharma-legislation-amid-competitiveness-drive/" TargetMode="External"/><Relationship Id="rIdcm4zustxxwktmljtcy6s_" Type="http://schemas.openxmlformats.org/officeDocument/2006/relationships/hyperlink" Target="https://healthpolicy-watch.news/eu-clinches-pharma-reform/" TargetMode="External"/><Relationship Id="rIdw2j0wp_rlcodx2ekucmmp" Type="http://schemas.openxmlformats.org/officeDocument/2006/relationships/hyperlink" Target="https://itif.org/publications/2026/03/18/lessons-from-europes-loss-of-biopharma-leadership-and-attempts-to-recover/" TargetMode="External"/><Relationship Id="rIdct2pz26gbxu8oxgfjylu5" Type="http://schemas.openxmlformats.org/officeDocument/2006/relationships/hyperlink" Target="https://www.efpia.eu/media/dgblshjv/efpia-annex-to-public-questionnaire-informing-the-european-biotech-act.pdf" TargetMode="External"/><Relationship Id="rIdyaf8raebkfbhzm4iifb_e" Type="http://schemas.openxmlformats.org/officeDocument/2006/relationships/hyperlink" Target="https://www.ddw-online.com/can-europe-take-the-lead-on-biotech-35716-202507/" TargetMode="Externa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2026-04-19T11:15:24.050Z</dcterms:created>
  <dcterms:modified xsi:type="dcterms:W3CDTF">2026-04-19T11:15:24.050Z</dcterms:modified>
</cp:coreProperties>
</file>

<file path=docProps/custom.xml><?xml version="1.0" encoding="utf-8"?>
<Properties xmlns="http://schemas.openxmlformats.org/officeDocument/2006/custom-properties" xmlns:vt="http://schemas.openxmlformats.org/officeDocument/2006/docPropsVTypes"/>
</file>