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line="240"/>
        <w:jc w:val="left"/>
      </w:pPr>
      <w:r>
        <w:rPr>
          <w:sz w:val="22"/>
          <w:szCs w:val="22"/>
          <w:rFonts w:ascii="Arial" w:cs="Arial" w:eastAsia="Arial" w:hAnsi="Arial"/>
        </w:rPr>
      </w:r>
    </w:p>
    <w:p>
      <w:pPr>
        <w:pBdr>
          <w:top w:val="none" w:color="1B2B4B" w:sz="0"/>
          <w:bottom w:val="none" w:color="1B2B4B" w:sz="0"/>
          <w:left w:val="none" w:color="1B2B4B" w:sz="0"/>
          <w:right w:val="none" w:color="1B2B4B" w:sz="0"/>
        </w:pBdr>
        <w:shd w:fill="1B2B4B" w:val="clear"/>
        <w:spacing w:after="0"/>
        <w:jc w:val="left"/>
      </w:pPr>
      <w:r>
        <w:rPr>
          <w:b/>
          <w:bCs/>
          <w:color w:val="FFFFFF"/>
          <w:sz w:val="28"/>
          <w:szCs w:val="28"/>
          <w:rFonts w:ascii="Arial" w:cs="Arial" w:eastAsia="Arial" w:hAnsi="Arial"/>
        </w:rPr>
        <w:t xml:space="preserve">POSITION PAPER</w:t>
      </w:r>
    </w:p>
    <w:p>
      <w:pPr>
        <w:pBdr>
          <w:bottom w:val="single" w:color="F7941D" w:sz="24" w:space="1"/>
        </w:pBdr>
        <w:shd w:fill="1B2B4B" w:val="clear"/>
        <w:spacing w:after="600"/>
        <w:jc w:val="left"/>
      </w:pPr>
      <w:r>
        <w:rPr>
          <w:sz w:val="4"/>
          <w:szCs w:val="4"/>
          <w:rFonts w:ascii="Arial" w:cs="Arial" w:eastAsia="Arial" w:hAnsi="Arial"/>
        </w:rPr>
      </w:r>
    </w:p>
    <w:p>
      <w:pPr>
        <w:spacing w:before="200" w:after="400"/>
        <w:jc w:val="left"/>
      </w:pPr>
      <w:r>
        <w:rPr>
          <w:b/>
          <w:bCs/>
          <w:color w:val="1B2B4B"/>
          <w:sz w:val="56"/>
          <w:szCs w:val="56"/>
          <w:rFonts w:ascii="Arial" w:cs="Arial" w:eastAsia="Arial" w:hAnsi="Arial"/>
        </w:rPr>
        <w:t xml:space="preserve">Vía de Aprobación Acelerada — Terapias Avanzadas</w:t>
      </w:r>
    </w:p>
    <w:p>
      <w:pPr>
        <w:pBdr>
          <w:bottom w:val="single" w:color="F7941D" w:sz="8" w:space="2"/>
        </w:pBdr>
        <w:spacing w:after="200"/>
        <w:jc w:val="left"/>
      </w:pPr>
      <w:r>
        <w:rPr>
          <w:sz w:val="22"/>
          <w:szCs w:val="22"/>
          <w:rFonts w:ascii="Arial" w:cs="Arial" w:eastAsia="Arial" w:hAnsi="Arial"/>
        </w:rPr>
      </w:r>
    </w:p>
    <w:p>
      <w:pPr>
        <w:spacing w:after="100" w:line="240"/>
        <w:jc w:val="left"/>
      </w:pPr>
      <w:r>
        <w:rPr>
          <w:sz w:val="22"/>
          <w:szCs w:val="22"/>
          <w:rFonts w:ascii="Arial" w:cs="Arial" w:eastAsia="Arial" w:hAnsi="Arial"/>
        </w:rPr>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80"/>
            </w:tcMar>
          </w:tcPr>
          <w:p>
            <w:pPr>
              <w:spacing w:after="60" w:line="240"/>
              <w:jc w:val="left"/>
            </w:pPr>
            <w:r>
              <w:rPr>
                <w:b/>
                <w:bCs/>
                <w:sz w:val="20"/>
                <w:szCs w:val="20"/>
                <w:rFonts w:ascii="Arial" w:cs="Arial" w:eastAsia="Arial" w:hAnsi="Arial"/>
              </w:rPr>
              <w:t xml:space="preserve">Date,April 2026:</w:t>
            </w:r>
          </w:p>
        </w:tc>
        <w:tc>
          <w:tcPr>
            <w:tcW w:type="dxa" w:w="380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line="240"/>
              <w:jc w:val="left"/>
            </w:pPr>
            <w:r>
              <w:rPr>
                <w:sz w:val="20"/>
                <w:szCs w:val="20"/>
                <w:rFonts w:ascii="Arial" w:cs="Arial" w:eastAsia="Arial" w:hAnsi="Arial"/>
              </w:rPr>
            </w:r>
          </w:p>
        </w:tc>
      </w:tr>
    </w:tbl>
    <w:p>
      <w:pPr>
        <w:spacing w:after="200" w:line="240"/>
        <w:jc w:val="left"/>
      </w:pPr>
      <w:r>
        <w:rPr>
          <w:sz w:val="22"/>
          <w:szCs w:val="22"/>
          <w:rFonts w:ascii="Arial" w:cs="Arial" w:eastAsia="Arial" w:hAnsi="Arial"/>
        </w:rPr>
      </w:r>
    </w:p>
    <w:p>
      <w:pPr>
        <w:jc w:val="left"/>
      </w:pPr>
      <w:r>
        <w:br w:type="page"/>
      </w:r>
    </w:p>
    <w:p>
      <w:pPr>
        <w:sectPr>
          <w:pgSz w:w="11906" w:h="16838" w:orient="portrait"/>
          <w:pgMar w:top="1080" w:right="1080" w:bottom="1080" w:left="1080" w:header="708" w:footer="708" w:gutter="0"/>
          <w:pgNumType/>
          <w:docGrid w:linePitch="360"/>
        </w:sectPr>
      </w:pPr>
    </w:p>
    <w:p>
      <w:pPr>
        <w:spacing w:after="140" w:line="276"/>
        <w:jc w:val="left"/>
      </w:pPr>
      <w:r>
        <w:rPr>
          <w:sz w:val="22"/>
          <w:szCs w:val="22"/>
          <w:rFonts w:ascii="Arial" w:cs="Arial" w:eastAsia="Arial" w:hAnsi="Arial"/>
        </w:rPr>
        <w:t xml:space="preserve">Mapa de Ruta Legislativa: Vía de Aprobación Acelerada para Terapias Avanzadas en Ensayos Clínicos de Fase I/II</w:t>
      </w:r>
    </w:p>
    <w:p>
      <w:pPr>
        <w:spacing w:after="140" w:line="276"/>
        <w:jc w:val="left"/>
      </w:pPr>
      <w:r>
        <w:rPr>
          <w:sz w:val="22"/>
          <w:szCs w:val="22"/>
          <w:rFonts w:ascii="Arial" w:cs="Arial" w:eastAsia="Arial" w:hAnsi="Arial"/>
        </w:rPr>
        <w:t xml:space="preserve">Mapa de Ruta Legislativa: Vía de Aprobación Acelerada para Terapias Avanzadas en Ensayos Clínicos de Fase I/II</w:t>
      </w:r>
    </w:p>
    <w:p>
      <w:pPr>
        <w:spacing w:after="140" w:line="276"/>
        <w:jc w:val="left"/>
      </w:pPr>
      <w:r>
        <w:rPr>
          <w:sz w:val="22"/>
          <w:szCs w:val="22"/>
          <w:rFonts w:ascii="Arial" w:cs="Arial" w:eastAsia="Arial" w:hAnsi="Arial"/>
        </w:rPr>
        <w:t xml:space="preserve">Date,April 2026:</w:t>
      </w:r>
    </w:p>
    <w:p>
      <w:pPr>
        <w:spacing w:after="140" w:line="276"/>
        <w:jc w:val="left"/>
      </w:pPr>
      <w:r>
        <w:rPr>
          <w:sz w:val="22"/>
          <w:szCs w:val="22"/>
          <w:rFonts w:ascii="Arial" w:cs="Arial" w:eastAsia="Arial" w:hAnsi="Arial"/>
        </w:rPr>
        <w:t xml:space="preserve">Mapa de Ruta Legislativa: Vía de Aprobación Acelerada para Terapias Avanzadas en Ensayos Clínicos de Fase I/II</w:t>
      </w:r>
    </w:p>
    <w:p>
      <w:pPr>
        <w:spacing w:after="140" w:line="276"/>
        <w:jc w:val="left"/>
      </w:pPr>
      <w:r>
        <w:rPr>
          <w:sz w:val="22"/>
          <w:szCs w:val="22"/>
          <w:rFonts w:ascii="Arial" w:cs="Arial" w:eastAsia="Arial" w:hAnsi="Arial"/>
        </w:rPr>
        <w:t xml:space="preserve">Jurisdicción: España | Fecha: Abril 2026</w:t>
      </w:r>
    </w:p>
    <w:p>
      <w:pPr>
        <w:spacing w:after="140" w:line="276"/>
        <w:jc w:val="left"/>
      </w:pPr>
      <w:r>
        <w:rPr>
          <w:sz w:val="22"/>
          <w:szCs w:val="22"/>
          <w:rFonts w:ascii="Arial" w:cs="Arial" w:eastAsia="Arial" w:hAnsi="Arial"/>
        </w:rPr>
        <w:t xml:space="preserve">📋 Resumen del Objetivo</w:t>
      </w:r>
    </w:p>
    <w:p>
      <w:pPr>
        <w:spacing w:after="140" w:line="276"/>
        <w:jc w:val="left"/>
      </w:pPr>
      <w:r>
        <w:rPr>
          <w:sz w:val="22"/>
          <w:szCs w:val="22"/>
          <w:rFonts w:ascii="Arial" w:cs="Arial" w:eastAsia="Arial" w:hAnsi="Arial"/>
        </w:rPr>
        <w:t xml:space="preserve">El objetivo es modificar el Real Decreto 1090/2015, de 4 de diciembre, por el que se regulan los ensayos clínicos con medicamentos, los Comités de Ética de la Investigación con medicamentos y el Registro Español de Estudios Clínicos, para introducir una vía de autorización acelerada específica para medicamentos de terapia avanzada (génica y celular) en ensayos de Fase I/II. La modificación concreta perseguida es reducir el plazo de autorización de 60 días a menos de 30 días cuando ya exista una opinión positiva previa de la EMA, eliminando la duplicación de revisión científica entre la AEMPS y los Comités de Ética de la Investigación con medicamentos (CEIm) regionales. El principal decisor es el Gobierno de España —a través del Ministerio de Sanidad (Ministra Mónica García) y la AEMPS (Directora María Jesús Lamas Díaz)—, que tiene potestad reglamentaria para modificar el Real Decreto sin necesidad de tramitación como proyecto de ley.</w:t>
      </w:r>
    </w:p>
    <w:p>
      <w:pPr>
        <w:spacing w:after="140" w:line="276"/>
        <w:jc w:val="left"/>
      </w:pPr>
      <w:r>
        <w:rPr>
          <w:sz w:val="22"/>
          <w:szCs w:val="22"/>
          <w:rFonts w:ascii="Arial" w:cs="Arial" w:eastAsia="Arial" w:hAnsi="Arial"/>
        </w:rPr>
        <w:t xml:space="preserve">🗺️ Vías Disponibles</w:t>
      </w:r>
    </w:p>
    <w:p>
      <w:pPr>
        <w:spacing w:after="140" w:line="276"/>
        <w:jc w:val="left"/>
      </w:pPr>
      <w:r>
        <w:rPr>
          <w:sz w:val="22"/>
          <w:szCs w:val="22"/>
          <w:rFonts w:ascii="Arial" w:cs="Arial" w:eastAsia="Arial" w:hAnsi="Arial"/>
        </w:rPr>
        <w:t xml:space="preserve">Vía</w:t>
      </w:r>
    </w:p>
    <w:p>
      <w:pPr>
        <w:spacing w:after="140" w:line="276"/>
        <w:jc w:val="left"/>
      </w:pPr>
      <w:r>
        <w:rPr>
          <w:sz w:val="22"/>
          <w:szCs w:val="22"/>
          <w:rFonts w:ascii="Arial" w:cs="Arial" w:eastAsia="Arial" w:hAnsi="Arial"/>
        </w:rPr>
        <w:t xml:space="preserve">Descripción</w:t>
      </w:r>
    </w:p>
    <w:p>
      <w:pPr>
        <w:spacing w:after="140" w:line="276"/>
        <w:jc w:val="left"/>
      </w:pPr>
      <w:r>
        <w:rPr>
          <w:sz w:val="22"/>
          <w:szCs w:val="22"/>
          <w:rFonts w:ascii="Arial" w:cs="Arial" w:eastAsia="Arial" w:hAnsi="Arial"/>
        </w:rPr>
        <w:t xml:space="preserve">Viabilidad</w:t>
      </w:r>
    </w:p>
    <w:p>
      <w:pPr>
        <w:spacing w:after="140" w:line="276"/>
        <w:jc w:val="left"/>
      </w:pPr>
      <w:r>
        <w:rPr>
          <w:sz w:val="22"/>
          <w:szCs w:val="22"/>
          <w:rFonts w:ascii="Arial" w:cs="Arial" w:eastAsia="Arial" w:hAnsi="Arial"/>
        </w:rPr>
        <w:t xml:space="preserve">Duración Estimada</w:t>
      </w:r>
    </w:p>
    <w:p>
      <w:pPr>
        <w:spacing w:after="140" w:line="276"/>
        <w:jc w:val="left"/>
      </w:pPr>
      <w:r>
        <w:rPr>
          <w:sz w:val="22"/>
          <w:szCs w:val="22"/>
          <w:rFonts w:ascii="Arial" w:cs="Arial" w:eastAsia="Arial" w:hAnsi="Arial"/>
        </w:rPr>
        <w:t xml:space="preserve">Riesgo</w:t>
      </w:r>
    </w:p>
    <w:p>
      <w:pPr>
        <w:spacing w:after="140" w:line="276"/>
        <w:jc w:val="left"/>
      </w:pPr>
      <w:r>
        <w:rPr>
          <w:sz w:val="22"/>
          <w:szCs w:val="22"/>
          <w:rFonts w:ascii="Arial" w:cs="Arial" w:eastAsia="Arial" w:hAnsi="Arial"/>
        </w:rPr>
        <w:t xml:space="preserve">A. Modificación reglamentaria del RD 1090/2015 (Real Decreto del Consejo de Ministros)</w:t>
      </w:r>
    </w:p>
    <w:p>
      <w:pPr>
        <w:spacing w:after="140" w:line="276"/>
        <w:jc w:val="left"/>
      </w:pPr>
      <w:r>
        <w:rPr>
          <w:sz w:val="22"/>
          <w:szCs w:val="22"/>
          <w:rFonts w:ascii="Arial" w:cs="Arial" w:eastAsia="Arial" w:hAnsi="Arial"/>
        </w:rPr>
        <w:t xml:space="preserve">El Gobierno modifica directamente el RD 1090/2015 mediante un nuevo Real Decreto. Requiere elaboración de borrador, audiencia pública, dictamen del Consejo de Estado y aprobación en Consejo de Ministros. No requiere aprobación parlamentaria.</w:t>
      </w:r>
    </w:p>
    <w:p>
      <w:pPr>
        <w:spacing w:after="140" w:line="276"/>
        <w:jc w:val="left"/>
      </w:pPr>
      <w:r>
        <w:rPr>
          <w:sz w:val="22"/>
          <w:szCs w:val="22"/>
          <w:rFonts w:ascii="Arial" w:cs="Arial" w:eastAsia="Arial" w:hAnsi="Arial"/>
        </w:rPr>
        <w:t xml:space="preserve">✅ Recomendada</w:t>
      </w:r>
    </w:p>
    <w:p>
      <w:pPr>
        <w:spacing w:after="140" w:line="276"/>
        <w:jc w:val="left"/>
      </w:pPr>
      <w:r>
        <w:rPr>
          <w:sz w:val="22"/>
          <w:szCs w:val="22"/>
          <w:rFonts w:ascii="Arial" w:cs="Arial" w:eastAsia="Arial" w:hAnsi="Arial"/>
        </w:rPr>
        <w:t xml:space="preserve">12–18 meses</w:t>
      </w:r>
    </w:p>
    <w:p>
      <w:pPr>
        <w:spacing w:after="140" w:line="276"/>
        <w:jc w:val="left"/>
      </w:pPr>
      <w:r>
        <w:rPr>
          <w:sz w:val="22"/>
          <w:szCs w:val="22"/>
          <w:rFonts w:ascii="Arial" w:cs="Arial" w:eastAsia="Arial" w:hAnsi="Arial"/>
        </w:rPr>
        <w:t xml:space="preserve">Medio</w:t>
      </w:r>
    </w:p>
    <w:p>
      <w:pPr>
        <w:spacing w:after="140" w:line="276"/>
        <w:jc w:val="left"/>
      </w:pPr>
      <w:r>
        <w:rPr>
          <w:sz w:val="22"/>
          <w:szCs w:val="22"/>
          <w:rFonts w:ascii="Arial" w:cs="Arial" w:eastAsia="Arial" w:hAnsi="Arial"/>
        </w:rPr>
        <w:t xml:space="preserve">B. Instrucción operativa / Circular de la AEMPS</w:t>
      </w:r>
    </w:p>
    <w:p>
      <w:pPr>
        <w:spacing w:after="140" w:line="276"/>
        <w:jc w:val="left"/>
      </w:pPr>
      <w:r>
        <w:rPr>
          <w:sz w:val="22"/>
          <w:szCs w:val="22"/>
          <w:rFonts w:ascii="Arial" w:cs="Arial" w:eastAsia="Arial" w:hAnsi="Arial"/>
        </w:rPr>
        <w:t xml:space="preserve">La AEMPS emite una instrucción interpretativa o protocolo interno que, sin modificar el RD, formaliza una tramitación acelerada administrativa de facto para terapias avanzadas con opinión EMA previa.</w:t>
      </w:r>
    </w:p>
    <w:p>
      <w:pPr>
        <w:spacing w:after="140" w:line="276"/>
        <w:jc w:val="left"/>
      </w:pPr>
      <w:r>
        <w:rPr>
          <w:sz w:val="22"/>
          <w:szCs w:val="22"/>
          <w:rFonts w:ascii="Arial" w:cs="Arial" w:eastAsia="Arial" w:hAnsi="Arial"/>
        </w:rPr>
        <w:t xml:space="preserve">⚠️ Posible</w:t>
      </w:r>
    </w:p>
    <w:p>
      <w:pPr>
        <w:spacing w:after="140" w:line="276"/>
        <w:jc w:val="left"/>
      </w:pPr>
      <w:r>
        <w:rPr>
          <w:sz w:val="22"/>
          <w:szCs w:val="22"/>
          <w:rFonts w:ascii="Arial" w:cs="Arial" w:eastAsia="Arial" w:hAnsi="Arial"/>
        </w:rPr>
        <w:t xml:space="preserve">3–6 meses</w:t>
      </w:r>
    </w:p>
    <w:p>
      <w:pPr>
        <w:spacing w:after="140" w:line="276"/>
        <w:jc w:val="left"/>
      </w:pPr>
      <w:r>
        <w:rPr>
          <w:sz w:val="22"/>
          <w:szCs w:val="22"/>
          <w:rFonts w:ascii="Arial" w:cs="Arial" w:eastAsia="Arial" w:hAnsi="Arial"/>
        </w:rPr>
        <w:t xml:space="preserve">Medio-alto (inseguridad jurídica; impugnable)</w:t>
      </w:r>
    </w:p>
    <w:p>
      <w:pPr>
        <w:spacing w:after="140" w:line="276"/>
        <w:jc w:val="left"/>
      </w:pPr>
      <w:r>
        <w:rPr>
          <w:sz w:val="22"/>
          <w:szCs w:val="22"/>
          <w:rFonts w:ascii="Arial" w:cs="Arial" w:eastAsia="Arial" w:hAnsi="Arial"/>
        </w:rPr>
        <w:t xml:space="preserve">C. Proyecto de Ley de Medicamentos y Productos Sanitarios</w:t>
      </w:r>
    </w:p>
    <w:p>
      <w:pPr>
        <w:spacing w:after="140" w:line="276"/>
        <w:jc w:val="left"/>
      </w:pPr>
      <w:r>
        <w:rPr>
          <w:sz w:val="22"/>
          <w:szCs w:val="22"/>
          <w:rFonts w:ascii="Arial" w:cs="Arial" w:eastAsia="Arial" w:hAnsi="Arial"/>
        </w:rPr>
        <w:t xml:space="preserve">Incluir la vía acelerada como disposición en el Anteproyecto de Ley de Medicamentos actualmente en tramitación, elevando el rango normativo.</w:t>
      </w:r>
    </w:p>
    <w:p>
      <w:pPr>
        <w:spacing w:after="140" w:line="276"/>
        <w:jc w:val="left"/>
      </w:pPr>
      <w:r>
        <w:rPr>
          <w:sz w:val="22"/>
          <w:szCs w:val="22"/>
          <w:rFonts w:ascii="Arial" w:cs="Arial" w:eastAsia="Arial" w:hAnsi="Arial"/>
        </w:rPr>
        <w:t xml:space="preserve">⚠️ Posible</w:t>
      </w:r>
    </w:p>
    <w:p>
      <w:pPr>
        <w:spacing w:after="140" w:line="276"/>
        <w:jc w:val="left"/>
      </w:pPr>
      <w:r>
        <w:rPr>
          <w:sz w:val="22"/>
          <w:szCs w:val="22"/>
          <w:rFonts w:ascii="Arial" w:cs="Arial" w:eastAsia="Arial" w:hAnsi="Arial"/>
        </w:rPr>
        <w:t xml:space="preserve">24–36 meses</w:t>
      </w:r>
    </w:p>
    <w:p>
      <w:pPr>
        <w:spacing w:after="140" w:line="276"/>
        <w:jc w:val="left"/>
      </w:pPr>
      <w:r>
        <w:rPr>
          <w:sz w:val="22"/>
          <w:szCs w:val="22"/>
          <w:rFonts w:ascii="Arial" w:cs="Arial" w:eastAsia="Arial" w:hAnsi="Arial"/>
        </w:rPr>
        <w:t xml:space="preserve">Alto (depende de aritmética parlamentaria en gobierno minoritario)</w:t>
      </w:r>
    </w:p>
    <w:p>
      <w:pPr>
        <w:spacing w:after="140" w:line="276"/>
        <w:jc w:val="left"/>
      </w:pPr>
      <w:r>
        <w:rPr>
          <w:sz w:val="22"/>
          <w:szCs w:val="22"/>
          <w:rFonts w:ascii="Arial" w:cs="Arial" w:eastAsia="Arial" w:hAnsi="Arial"/>
        </w:rPr>
        <w:t xml:space="preserve">D. Proposición de Ley de grupos parlamentarios aliados</w:t>
      </w:r>
    </w:p>
    <w:p>
      <w:pPr>
        <w:spacing w:after="140" w:line="276"/>
        <w:jc w:val="left"/>
      </w:pPr>
      <w:r>
        <w:rPr>
          <w:sz w:val="22"/>
          <w:szCs w:val="22"/>
          <w:rFonts w:ascii="Arial" w:cs="Arial" w:eastAsia="Arial" w:hAnsi="Arial"/>
        </w:rPr>
        <w:t xml:space="preserve">Un grupo parlamentario (PNV, ERC, EH Bildu u otro partido de la coalición de investidura) presenta una proposición de ley específica.</w:t>
      </w:r>
    </w:p>
    <w:p>
      <w:pPr>
        <w:spacing w:after="140" w:line="276"/>
        <w:jc w:val="left"/>
      </w:pPr>
      <w:r>
        <w:rPr>
          <w:sz w:val="22"/>
          <w:szCs w:val="22"/>
          <w:rFonts w:ascii="Arial" w:cs="Arial" w:eastAsia="Arial" w:hAnsi="Arial"/>
        </w:rPr>
        <w:t xml:space="preserve">❌ No adecuada</w:t>
      </w:r>
    </w:p>
    <w:p>
      <w:pPr>
        <w:spacing w:after="140" w:line="276"/>
        <w:jc w:val="left"/>
      </w:pPr>
      <w:r>
        <w:rPr>
          <w:sz w:val="22"/>
          <w:szCs w:val="22"/>
          <w:rFonts w:ascii="Arial" w:cs="Arial" w:eastAsia="Arial" w:hAnsi="Arial"/>
        </w:rPr>
        <w:t xml:space="preserve">30–48 meses</w:t>
      </w:r>
    </w:p>
    <w:p>
      <w:pPr>
        <w:spacing w:after="140" w:line="276"/>
        <w:jc w:val="left"/>
      </w:pPr>
      <w:r>
        <w:rPr>
          <w:sz w:val="22"/>
          <w:szCs w:val="22"/>
          <w:rFonts w:ascii="Arial" w:cs="Arial" w:eastAsia="Arial" w:hAnsi="Arial"/>
        </w:rPr>
        <w:t xml:space="preserve">Muy alto (sin control de agenda parlamentaria)</w:t>
      </w:r>
    </w:p>
    <w:p>
      <w:pPr>
        <w:spacing w:after="140" w:line="276"/>
        <w:jc w:val="left"/>
      </w:pPr>
      <w:r>
        <w:rPr>
          <w:sz w:val="22"/>
          <w:szCs w:val="22"/>
          <w:rFonts w:ascii="Arial" w:cs="Arial" w:eastAsia="Arial" w:hAnsi="Arial"/>
        </w:rPr>
        <w:t xml:space="preserve">E. Real Decreto-ley</w:t>
      </w:r>
    </w:p>
    <w:p>
      <w:pPr>
        <w:spacing w:after="140" w:line="276"/>
        <w:jc w:val="left"/>
      </w:pPr>
      <w:r>
        <w:rPr>
          <w:sz w:val="22"/>
          <w:szCs w:val="22"/>
          <w:rFonts w:ascii="Arial" w:cs="Arial" w:eastAsia="Arial" w:hAnsi="Arial"/>
        </w:rPr>
        <w:t xml:space="preserve">Modificación urgente del RD 1090/2015 por la vía de urgencia del art. 86 CE, amparándose en la necesidad de agilizar el acceso de pacientes a terapias innovadoras.</w:t>
      </w:r>
    </w:p>
    <w:p>
      <w:pPr>
        <w:spacing w:after="140" w:line="276"/>
        <w:jc w:val="left"/>
      </w:pPr>
      <w:r>
        <w:rPr>
          <w:sz w:val="22"/>
          <w:szCs w:val="22"/>
          <w:rFonts w:ascii="Arial" w:cs="Arial" w:eastAsia="Arial" w:hAnsi="Arial"/>
        </w:rPr>
        <w:t xml:space="preserve">⚠️ Posible</w:t>
      </w:r>
    </w:p>
    <w:p>
      <w:pPr>
        <w:spacing w:after="140" w:line="276"/>
        <w:jc w:val="left"/>
      </w:pPr>
      <w:r>
        <w:rPr>
          <w:sz w:val="22"/>
          <w:szCs w:val="22"/>
          <w:rFonts w:ascii="Arial" w:cs="Arial" w:eastAsia="Arial" w:hAnsi="Arial"/>
        </w:rPr>
        <w:t xml:space="preserve">6–9 meses</w:t>
      </w:r>
    </w:p>
    <w:p>
      <w:pPr>
        <w:spacing w:after="140" w:line="276"/>
        <w:jc w:val="left"/>
      </w:pPr>
      <w:r>
        <w:rPr>
          <w:sz w:val="22"/>
          <w:szCs w:val="22"/>
          <w:rFonts w:ascii="Arial" w:cs="Arial" w:eastAsia="Arial" w:hAnsi="Arial"/>
        </w:rPr>
        <w:t xml:space="preserve">Alto (difícil justificar la urgencia; posible rechazo en el Congreso en 30 días)</w:t>
      </w:r>
    </w:p>
    <w:p>
      <w:pPr>
        <w:spacing w:after="140" w:line="276"/>
        <w:jc w:val="left"/>
      </w:pPr>
      <w:r>
        <w:rPr>
          <w:sz w:val="22"/>
          <w:szCs w:val="22"/>
          <w:rFonts w:ascii="Arial" w:cs="Arial" w:eastAsia="Arial" w:hAnsi="Arial"/>
        </w:rPr>
        <w:t xml:space="preserve">✅ Vía Recomendada: Modificación Reglamentaria del Real Decreto 1090/2015</w:t>
      </w:r>
    </w:p>
    <w:p>
      <w:pPr>
        <w:spacing w:after="140" w:line="276"/>
        <w:jc w:val="left"/>
      </w:pPr>
      <w:r>
        <w:rPr>
          <w:sz w:val="22"/>
          <w:szCs w:val="22"/>
          <w:rFonts w:ascii="Arial" w:cs="Arial" w:eastAsia="Arial" w:hAnsi="Arial"/>
        </w:rPr>
        <w:t xml:space="preserve">Esta vía es la más adecuada porque: (a) la competencia normativa reside íntegramente en el Ejecutivo, sin necesidad de mayoría parlamentaria; (b) el Gobierno de Sánchez ya ha impulsado el Plan Profarma 2025-2026, que prioriza explícitamente las terapias avanzadas como área estratégica, lo que genera el entorno político propicio; y (c) la AEMPS ha intensificado sus esfuerzos para reducir los tiempos de evaluación y aumentar la eficiencia regulatoria, extendiendo ya el procedimiento de evaluación acelerada para ensayos nacionales en fases tempranas de relevancia terapéutica significativa. La modificación reglamentaria consolida y amplía ese precedente con rango normativo firme.</w:t>
      </w:r>
    </w:p>
    <w:p>
      <w:pPr>
        <w:spacing w:after="140" w:line="276"/>
        <w:jc w:val="left"/>
      </w:pPr>
      <w:r>
        <w:rPr>
          <w:sz w:val="22"/>
          <w:szCs w:val="22"/>
          <w:rFonts w:ascii="Arial" w:cs="Arial" w:eastAsia="Arial" w:hAnsi="Arial"/>
        </w:rPr>
        <w:t xml:space="preserve">Paso 1: Construcción del caso y movilización del promotor institucional</w:t>
      </w:r>
    </w:p>
    <w:p>
      <w:pPr>
        <w:spacing w:after="140" w:line="276"/>
        <w:jc w:val="left"/>
      </w:pPr>
      <w:r>
        <w:rPr>
          <w:sz w:val="22"/>
          <w:szCs w:val="22"/>
          <w:rFonts w:ascii="Arial" w:cs="Arial" w:eastAsia="Arial" w:hAnsi="Arial"/>
        </w:rPr>
        <w:t xml:space="preserve">Actor principal: Farmaindustria (Director General: Humberto Arnés), en alianza con AseBio y la AEMPS (Directora: María Jesús Lamas Díaz)</w:t>
      </w:r>
    </w:p>
    <w:p>
      <w:pPr>
        <w:spacing w:after="140" w:line="276"/>
        <w:jc w:val="left"/>
      </w:pPr>
      <w:r>
        <w:rPr>
          <w:sz w:val="22"/>
          <w:szCs w:val="22"/>
          <w:rFonts w:ascii="Arial" w:cs="Arial" w:eastAsia="Arial" w:hAnsi="Arial"/>
        </w:rPr>
        <w:t xml:space="preserve">Qué se requiere: Elaborar un documento de posición (escrito de posición, 5-8 páginas) que acredite: (i) el problema regulatorio concreto —duplicación de revisión científica entre AEMPS y CEIm cuando ya existe opinión EMA—; (ii) el impacto cuantificado en el atractivo de España como destino de ensayos clínicos de terapias avanzadas; (iii) el precedente europeo (procedimiento FAST-EU para ensayos multinacionales). El documento debe proponer el texto articulado de la modificación del RD 1090/2015 (nuevos artículos o disposición adicional específica para ATMPs con evaluación positiva EMA).</w:t>
      </w:r>
    </w:p>
    <w:p>
      <w:pPr>
        <w:spacing w:after="140" w:line="276"/>
        <w:jc w:val="left"/>
      </w:pPr>
      <w:r>
        <w:rPr>
          <w:sz w:val="22"/>
          <w:szCs w:val="22"/>
          <w:rFonts w:ascii="Arial" w:cs="Arial" w:eastAsia="Arial" w:hAnsi="Arial"/>
        </w:rPr>
        <w:t xml:space="preserve">Plazo: 30–60 días desde inicio</w:t>
      </w:r>
    </w:p>
    <w:p>
      <w:pPr>
        <w:spacing w:after="140" w:line="276"/>
        <w:jc w:val="left"/>
      </w:pPr>
      <w:r>
        <w:rPr>
          <w:sz w:val="22"/>
          <w:szCs w:val="22"/>
          <w:rFonts w:ascii="Arial" w:cs="Arial" w:eastAsia="Arial" w:hAnsi="Arial"/>
        </w:rPr>
        <w:t xml:space="preserve">Documento clave: Escrito de posición con propuesta articulada de modificación del RD 1090/2015 + memoria económica preliminar + comparativa regulatoria europea</w:t>
      </w:r>
    </w:p>
    <w:p>
      <w:pPr>
        <w:spacing w:after="140" w:line="276"/>
        <w:jc w:val="left"/>
      </w:pPr>
      <w:r>
        <w:rPr>
          <w:sz w:val="22"/>
          <w:szCs w:val="22"/>
          <w:rFonts w:ascii="Arial" w:cs="Arial" w:eastAsia="Arial" w:hAnsi="Arial"/>
        </w:rPr>
        <w:t xml:space="preserve">Punto de entrada: Reunión bilateral con la Oficina de Apoyo a la Innovación de la AEMPS y con el Gabinete de la Ministra Mónica García</w:t>
      </w:r>
    </w:p>
    <w:p>
      <w:pPr>
        <w:spacing w:after="140" w:line="276"/>
        <w:jc w:val="left"/>
      </w:pPr>
      <w:r>
        <w:rPr>
          <w:sz w:val="22"/>
          <w:szCs w:val="22"/>
          <w:rFonts w:ascii="Arial" w:cs="Arial" w:eastAsia="Arial" w:hAnsi="Arial"/>
        </w:rPr>
        <w:t xml:space="preserve">Notas: De los 930 estudios autorizados por la AEMPS en 2024, un total de 52 se centraron en medicamentos de terapia avanzada. Este dato —que representa menos del 6% del total— es un argumento cuantitativo potente para justificar que una vía acelerada específica no compromete la carga de trabajo global de la AEMPS. Alinear el argumento con la narrativa del Plan Profarma es esencial: el Profarma 2025-2026 prioriza, en actividades de I+D+i, la fabricación y comercialización en ámbitos como los medicamentos estratégicos, antimicrobianos, biotecnológicos y de terapias avanzadas.</w:t>
      </w:r>
    </w:p>
    <w:p>
      <w:pPr>
        <w:spacing w:after="140" w:line="276"/>
        <w:jc w:val="left"/>
      </w:pPr>
      <w:r>
        <w:rPr>
          <w:sz w:val="22"/>
          <w:szCs w:val="22"/>
          <w:rFonts w:ascii="Arial" w:cs="Arial" w:eastAsia="Arial" w:hAnsi="Arial"/>
        </w:rPr>
        <w:t xml:space="preserve">Paso 2: Apertura del canal ministerial y encargo de elaboración del borrador</w:t>
      </w:r>
    </w:p>
    <w:p>
      <w:pPr>
        <w:spacing w:after="140" w:line="276"/>
        <w:jc w:val="left"/>
      </w:pPr>
      <w:r>
        <w:rPr>
          <w:sz w:val="22"/>
          <w:szCs w:val="22"/>
          <w:rFonts w:ascii="Arial" w:cs="Arial" w:eastAsia="Arial" w:hAnsi="Arial"/>
        </w:rPr>
        <w:t xml:space="preserve">Actor principal: Ministra de Sanidad, Mónica García Gómez (Más Madrid / Sumar), y Secretaría de Estado de Sanidad</w:t>
      </w:r>
    </w:p>
    <w:p>
      <w:pPr>
        <w:spacing w:after="140" w:line="276"/>
        <w:jc w:val="left"/>
      </w:pPr>
      <w:r>
        <w:rPr>
          <w:sz w:val="22"/>
          <w:szCs w:val="22"/>
          <w:rFonts w:ascii="Arial" w:cs="Arial" w:eastAsia="Arial" w:hAnsi="Arial"/>
        </w:rPr>
        <w:t xml:space="preserve">Qué se requiere: Que el Ministerio de Sanidad encargue formalmente a la AEMPS la elaboración del borrador de modificación del RD 1090/2015. Este encargo se produce mediante una instrucción interna o nota de la Secretaría de Estado. Es el momento en que la modificación pasa de iniciativa externa a proceso administrativo oficial.</w:t>
      </w:r>
    </w:p>
    <w:p>
      <w:pPr>
        <w:spacing w:after="140" w:line="276"/>
        <w:jc w:val="left"/>
      </w:pPr>
      <w:r>
        <w:rPr>
          <w:sz w:val="22"/>
          <w:szCs w:val="22"/>
          <w:rFonts w:ascii="Arial" w:cs="Arial" w:eastAsia="Arial" w:hAnsi="Arial"/>
        </w:rPr>
        <w:t xml:space="preserve">Plazo: 2–4 meses desde el inicio de la interlocución ministerial</w:t>
      </w:r>
    </w:p>
    <w:p>
      <w:pPr>
        <w:spacing w:after="140" w:line="276"/>
        <w:jc w:val="left"/>
      </w:pPr>
      <w:r>
        <w:rPr>
          <w:sz w:val="22"/>
          <w:szCs w:val="22"/>
          <w:rFonts w:ascii="Arial" w:cs="Arial" w:eastAsia="Arial" w:hAnsi="Arial"/>
        </w:rPr>
        <w:t xml:space="preserve">Documento clave: Nota interna de encargo de elaboración (no pública); anteproyecto de Real Decreto de modificación del RD 1090/2015</w:t>
      </w:r>
    </w:p>
    <w:p>
      <w:pPr>
        <w:spacing w:after="140" w:line="276"/>
        <w:jc w:val="left"/>
      </w:pPr>
      <w:r>
        <w:rPr>
          <w:sz w:val="22"/>
          <w:szCs w:val="22"/>
          <w:rFonts w:ascii="Arial" w:cs="Arial" w:eastAsia="Arial" w:hAnsi="Arial"/>
        </w:rPr>
        <w:t xml:space="preserve">Punto de entrada: Reunión formal con el Gabinete de la Ministra de Sanidad + respaldo explícito del Ministro de Industria y Turismo, Jordi Hereu (promotor del Plan Profarma), que ya ha puesto las terapias avanzadas en agenda. La coordinación tripartita Sanidad-Industria-Ciencia es clave: el Plan Profarma fue lanzado por el Ministerio de Industria y Turismo en colaboración con el Ministerio de Sanidad y el de Ciencia, Innovación y Universidades.</w:t>
      </w:r>
    </w:p>
    <w:p>
      <w:pPr>
        <w:spacing w:after="140" w:line="276"/>
        <w:jc w:val="left"/>
      </w:pPr>
      <w:r>
        <w:rPr>
          <w:sz w:val="22"/>
          <w:szCs w:val="22"/>
          <w:rFonts w:ascii="Arial" w:cs="Arial" w:eastAsia="Arial" w:hAnsi="Arial"/>
        </w:rPr>
        <w:t xml:space="preserve">Notas: Mónica García es médica anestesióloga y tiene sensibilidad clínica. El argumento de acceso del paciente a terapias innovadoras tiene mayor resonancia política que el argumento puramente industrial. Usar ambos vectores de forma combinada. Mónica García Gómez ejerce actualmente como ministra de sanidad desde 2023.</w:t>
      </w:r>
    </w:p>
    <w:p>
      <w:pPr>
        <w:spacing w:after="140" w:line="276"/>
        <w:jc w:val="left"/>
      </w:pPr>
      <w:r>
        <w:rPr>
          <w:sz w:val="22"/>
          <w:szCs w:val="22"/>
          <w:rFonts w:ascii="Arial" w:cs="Arial" w:eastAsia="Arial" w:hAnsi="Arial"/>
        </w:rPr>
        <w:t xml:space="preserve">Paso 3: Elaboración del borrador y consulta técnica interna (AEMPS + CEIm)</w:t>
      </w:r>
    </w:p>
    <w:p>
      <w:pPr>
        <w:spacing w:after="140" w:line="276"/>
        <w:jc w:val="left"/>
      </w:pPr>
      <w:r>
        <w:rPr>
          <w:sz w:val="22"/>
          <w:szCs w:val="22"/>
          <w:rFonts w:ascii="Arial" w:cs="Arial" w:eastAsia="Arial" w:hAnsi="Arial"/>
        </w:rPr>
        <w:t xml:space="preserve">Actor principal: AEMPS (Directora: María Jesús Lamas Díaz) + Comité de Coordinación de los CEIm + Consejo Interterritorial del Sistema Nacional de Salud (CISNS)</w:t>
      </w:r>
    </w:p>
    <w:p>
      <w:pPr>
        <w:spacing w:after="140" w:line="276"/>
        <w:jc w:val="left"/>
      </w:pPr>
      <w:r>
        <w:rPr>
          <w:sz w:val="22"/>
          <w:szCs w:val="22"/>
          <w:rFonts w:ascii="Arial" w:cs="Arial" w:eastAsia="Arial" w:hAnsi="Arial"/>
        </w:rPr>
        <w:t xml:space="preserve">Qué se requiere: La AEMPS redacta el borrador articulado del nuevo Real Decreto. Los aspectos técnicos centrales a resolver son: (i) definición del supuesto de hecho (ATMP con opinión científica positiva previa de EMA en el marco del Reglamento UE 536/2014/CTIS); (ii) mecanismo de reducción del plazo (de 60 a menos de 30 días naturales); (iii) redefinición del papel de los CEIm en este supuesto (limitación a la revisión ética —consentimiento informado, protección de sujetos— sin duplicar la evaluación científica ya realizada por la EMA); (iv) salvaguardas (posibilidad de solicitar información adicional con suspensión del plazo). Requiere consulta interna con la Coordinación del CISNS y con los CEIm acreditados.</w:t>
      </w:r>
    </w:p>
    <w:p>
      <w:pPr>
        <w:spacing w:after="140" w:line="276"/>
        <w:jc w:val="left"/>
      </w:pPr>
      <w:r>
        <w:rPr>
          <w:sz w:val="22"/>
          <w:szCs w:val="22"/>
          <w:rFonts w:ascii="Arial" w:cs="Arial" w:eastAsia="Arial" w:hAnsi="Arial"/>
        </w:rPr>
        <w:t xml:space="preserve">Plazo: 3–5 meses</w:t>
      </w:r>
    </w:p>
    <w:p>
      <w:pPr>
        <w:spacing w:after="140" w:line="276"/>
        <w:jc w:val="left"/>
      </w:pPr>
      <w:r>
        <w:rPr>
          <w:sz w:val="22"/>
          <w:szCs w:val="22"/>
          <w:rFonts w:ascii="Arial" w:cs="Arial" w:eastAsia="Arial" w:hAnsi="Arial"/>
        </w:rPr>
        <w:t xml:space="preserve">Documento clave: Borrador de Real Decreto con exposición de motivos (exposición de motivos), articulado modificatorio del RD 1090/2015 (arts. 17–20 y, en su caso, nueva disposición adicional), y memoria económica (memoria económica) conforme al art. 7 de la Ley 50/1997, del Gobierno.</w:t>
      </w:r>
    </w:p>
    <w:p>
      <w:pPr>
        <w:spacing w:after="140" w:line="276"/>
        <w:jc w:val="left"/>
      </w:pPr>
      <w:r>
        <w:rPr>
          <w:sz w:val="22"/>
          <w:szCs w:val="22"/>
          <w:rFonts w:ascii="Arial" w:cs="Arial" w:eastAsia="Arial" w:hAnsi="Arial"/>
        </w:rPr>
        <w:t xml:space="preserve">Punto de entrada: Proceso interno AEMPS; participación de AseBio, Farmaindustria y representantes de los CEIm acreditados como consultores externos en fase previa a la audiencia formal</w:t>
      </w:r>
    </w:p>
    <w:p>
      <w:pPr>
        <w:spacing w:after="140" w:line="276"/>
        <w:jc w:val="left"/>
      </w:pPr>
      <w:r>
        <w:rPr>
          <w:sz w:val="22"/>
          <w:szCs w:val="22"/>
          <w:rFonts w:ascii="Arial" w:cs="Arial" w:eastAsia="Arial" w:hAnsi="Arial"/>
        </w:rPr>
        <w:t xml:space="preserve">Notas: El nudo crítico es la posición de los CEIm regionales. Algunas comunidades autónomas —especialmente las con mayor autonomía política (Cataluña, País Vasco)— pueden resistir cualquier reforma que perciban como una merma de sus competencias en ética de la investigación. La solución técnica óptima es un modelo de delegación condicional (el CEIm no desaparece, sino que redirige su revisión al ámbito exclusivamente ético), no de supresión. La investigación clínica con medicamentos de terapia avanzada requiere el dictamen ético de un Comité Ético de Investigación Clínica, la conformidad de la dirección de los centros participantes y la autorización de la AEMPS. La modificación debe respetar este esquema tripartito, limitando —no eliminando— la revisión científica del CEIm cuando la EMA ya la ha realizado.</w:t>
      </w:r>
    </w:p>
    <w:p>
      <w:pPr>
        <w:spacing w:after="140" w:line="276"/>
        <w:jc w:val="left"/>
      </w:pPr>
      <w:r>
        <w:rPr>
          <w:sz w:val="22"/>
          <w:szCs w:val="22"/>
          <w:rFonts w:ascii="Arial" w:cs="Arial" w:eastAsia="Arial" w:hAnsi="Arial"/>
        </w:rPr>
        <w:t xml:space="preserve">Paso 4: Audiencia e información pública y dictamen del Consejo de Estado</w:t>
      </w:r>
    </w:p>
    <w:p>
      <w:pPr>
        <w:spacing w:after="140" w:line="276"/>
        <w:jc w:val="left"/>
      </w:pPr>
      <w:r>
        <w:rPr>
          <w:sz w:val="22"/>
          <w:szCs w:val="22"/>
          <w:rFonts w:ascii="Arial" w:cs="Arial" w:eastAsia="Arial" w:hAnsi="Arial"/>
        </w:rPr>
        <w:t xml:space="preserve">Actor principal: Ministerio de Sanidad (tramitación formal); Consejo de Estado (dictamen preceptivo conforme al art. 22.3 de la Ley Orgánica 3/1980)</w:t>
      </w:r>
    </w:p>
    <w:p>
      <w:pPr>
        <w:spacing w:after="140" w:line="276"/>
        <w:jc w:val="left"/>
      </w:pPr>
      <w:r>
        <w:rPr>
          <w:sz w:val="22"/>
          <w:szCs w:val="22"/>
          <w:rFonts w:ascii="Arial" w:cs="Arial" w:eastAsia="Arial" w:hAnsi="Arial"/>
        </w:rPr>
        <w:t xml:space="preserve">Qué se requiere: Apertura del trámite de audiencia e información pública durante mínimo 15 días hábiles (art. 26 de la Ley 50/1997). Recogida de observaciones de todas las partes interesadas. Posteriormente, elevación al Consejo de Estado para dictamen preceptivo, cuyo plazo ordinario es de 2 meses. El dictamen del Consejo de Estado no es vinculante pero sí condiciona la solidez jurídica.</w:t>
      </w:r>
    </w:p>
    <w:p>
      <w:pPr>
        <w:spacing w:after="140" w:line="276"/>
        <w:jc w:val="left"/>
      </w:pPr>
      <w:r>
        <w:rPr>
          <w:sz w:val="22"/>
          <w:szCs w:val="22"/>
          <w:rFonts w:ascii="Arial" w:cs="Arial" w:eastAsia="Arial" w:hAnsi="Arial"/>
        </w:rPr>
        <w:t xml:space="preserve">Plazo: 3–5 meses (audiencia + dictamen Consejo de Estado)</w:t>
      </w:r>
    </w:p>
    <w:p>
      <w:pPr>
        <w:spacing w:after="140" w:line="276"/>
        <w:jc w:val="left"/>
      </w:pPr>
      <w:r>
        <w:rPr>
          <w:sz w:val="22"/>
          <w:szCs w:val="22"/>
          <w:rFonts w:ascii="Arial" w:cs="Arial" w:eastAsia="Arial" w:hAnsi="Arial"/>
        </w:rPr>
        <w:t xml:space="preserve">Documento clave: Publicación en el portal de transparencia (transparencia.gob.es) del borrador de Real Decreto; expediente completo con memoria, informe de impacto normativo y dictámenes</w:t>
      </w:r>
    </w:p>
    <w:p>
      <w:pPr>
        <w:spacing w:after="140" w:line="276"/>
        <w:jc w:val="left"/>
      </w:pPr>
      <w:r>
        <w:rPr>
          <w:sz w:val="22"/>
          <w:szCs w:val="22"/>
          <w:rFonts w:ascii="Arial" w:cs="Arial" w:eastAsia="Arial" w:hAnsi="Arial"/>
        </w:rPr>
        <w:t xml:space="preserve">Punto de entrada: Apertura oficial del período de consulta pública por el Ministerio de Sanidad</w:t>
      </w:r>
    </w:p>
    <w:p>
      <w:pPr>
        <w:spacing w:after="140" w:line="276"/>
        <w:jc w:val="left"/>
      </w:pPr>
      <w:r>
        <w:rPr>
          <w:sz w:val="22"/>
          <w:szCs w:val="22"/>
          <w:rFonts w:ascii="Arial" w:cs="Arial" w:eastAsia="Arial" w:hAnsi="Arial"/>
        </w:rPr>
        <w:t xml:space="preserve">Notas: Este trámite es la principal ventana de influencia para actores externos (Farmaindustria, AseBio, asociaciones de pacientes, hospitales de referencia en terapias avanzadas). Es imprescindible presentar observaciones técnicas bien fundamentadas en la consulta pública. La Plataforma de Organizaciones de Pacientes (POP) y FEDER (enfermedades raras) son aliados estratégicos para amplificar el argumento del acceso del paciente.</w:t>
      </w:r>
    </w:p>
    <w:p>
      <w:pPr>
        <w:spacing w:after="140" w:line="276"/>
        <w:jc w:val="left"/>
      </w:pPr>
      <w:r>
        <w:rPr>
          <w:sz w:val="22"/>
          <w:szCs w:val="22"/>
          <w:rFonts w:ascii="Arial" w:cs="Arial" w:eastAsia="Arial" w:hAnsi="Arial"/>
        </w:rPr>
        <w:t xml:space="preserve">Paso 5: Aprobación en Consejo de Ministros y publicación en el BOE</w:t>
      </w:r>
    </w:p>
    <w:p>
      <w:pPr>
        <w:spacing w:after="140" w:line="276"/>
        <w:jc w:val="left"/>
      </w:pPr>
      <w:r>
        <w:rPr>
          <w:sz w:val="22"/>
          <w:szCs w:val="22"/>
          <w:rFonts w:ascii="Arial" w:cs="Arial" w:eastAsia="Arial" w:hAnsi="Arial"/>
        </w:rPr>
        <w:t xml:space="preserve">Actor principal: Consejo de Ministros (presidido por Pedro Sánchez); Ministerio de Sanidad como ministerio proponente</w:t>
      </w:r>
    </w:p>
    <w:p>
      <w:pPr>
        <w:spacing w:after="140" w:line="276"/>
        <w:jc w:val="left"/>
      </w:pPr>
      <w:r>
        <w:rPr>
          <w:sz w:val="22"/>
          <w:szCs w:val="22"/>
          <w:rFonts w:ascii="Arial" w:cs="Arial" w:eastAsia="Arial" w:hAnsi="Arial"/>
        </w:rPr>
        <w:t xml:space="preserve">Qué se requiere: Aprobación del Real Decreto modificativo en reunión del Consejo de Ministros, con posterior publicación en el Boletín Oficial del Estado (BOE). La entrada en vigor puede ser inmediata o diferida (plazo de vacatio legis), en función de la complejidad de la adaptación operativa para la AEMPS y los CEIm.</w:t>
      </w:r>
    </w:p>
    <w:p>
      <w:pPr>
        <w:spacing w:after="140" w:line="276"/>
        <w:jc w:val="left"/>
      </w:pPr>
      <w:r>
        <w:rPr>
          <w:sz w:val="22"/>
          <w:szCs w:val="22"/>
          <w:rFonts w:ascii="Arial" w:cs="Arial" w:eastAsia="Arial" w:hAnsi="Arial"/>
        </w:rPr>
        <w:t xml:space="preserve">Plazo: 1–2 meses tras el dictamen del Consejo de Estado</w:t>
      </w:r>
    </w:p>
    <w:p>
      <w:pPr>
        <w:spacing w:after="140" w:line="276"/>
        <w:jc w:val="left"/>
      </w:pPr>
      <w:r>
        <w:rPr>
          <w:sz w:val="22"/>
          <w:szCs w:val="22"/>
          <w:rFonts w:ascii="Arial" w:cs="Arial" w:eastAsia="Arial" w:hAnsi="Arial"/>
        </w:rPr>
        <w:t xml:space="preserve">Documento clave: Real Decreto publicado en el BOE (boe.es); texto articulado con la modificación de los artículos pertinentes del RD 1090/2015 y, en su caso, nuevas disposiciones adicionales o transitorias</w:t>
      </w:r>
    </w:p>
    <w:p>
      <w:pPr>
        <w:spacing w:after="140" w:line="276"/>
        <w:jc w:val="left"/>
      </w:pPr>
      <w:r>
        <w:rPr>
          <w:sz w:val="22"/>
          <w:szCs w:val="22"/>
          <w:rFonts w:ascii="Arial" w:cs="Arial" w:eastAsia="Arial" w:hAnsi="Arial"/>
        </w:rPr>
        <w:t xml:space="preserve">Punto de entrada: Orden del día del Consejo de Ministros; aprobación por mayoría simple del Consejo de Ministros (no requiere mayoría parlamentaria)</w:t>
      </w:r>
    </w:p>
    <w:p>
      <w:pPr>
        <w:spacing w:after="140" w:line="276"/>
        <w:jc w:val="left"/>
      </w:pPr>
      <w:r>
        <w:rPr>
          <w:sz w:val="22"/>
          <w:szCs w:val="22"/>
          <w:rFonts w:ascii="Arial" w:cs="Arial" w:eastAsia="Arial" w:hAnsi="Arial"/>
        </w:rPr>
        <w:t xml:space="preserve">Notas: En un gobierno de coalición minoritario, los Real Decretos no requieren votación parlamentaria (a diferencia de los Reales Decretos-leyes, que sí deben ser convalidados en 30 días). Este es el principal argumento a favor de la vía reglamentaria frente a la vía legal.</w:t>
      </w:r>
    </w:p>
    <w:p>
      <w:pPr>
        <w:spacing w:after="140" w:line="276"/>
        <w:jc w:val="left"/>
      </w:pPr>
      <w:r>
        <w:rPr>
          <w:sz w:val="22"/>
          <w:szCs w:val="22"/>
          <w:rFonts w:ascii="Arial" w:cs="Arial" w:eastAsia="Arial" w:hAnsi="Arial"/>
        </w:rPr>
        <w:t xml:space="preserve">Paso 6: Implementación operativa y seguimiento</w:t>
      </w:r>
    </w:p>
    <w:p>
      <w:pPr>
        <w:spacing w:after="140" w:line="276"/>
        <w:jc w:val="left"/>
      </w:pPr>
      <w:r>
        <w:rPr>
          <w:sz w:val="22"/>
          <w:szCs w:val="22"/>
          <w:rFonts w:ascii="Arial" w:cs="Arial" w:eastAsia="Arial" w:hAnsi="Arial"/>
        </w:rPr>
        <w:t xml:space="preserve">Actor principal: AEMPS (Directora: María Jesús Lamas Díaz) + CEIm acreditados + Registro Español de Estudios Clínicos (REec)</w:t>
      </w:r>
    </w:p>
    <w:p>
      <w:pPr>
        <w:spacing w:after="140" w:line="276"/>
        <w:jc w:val="left"/>
      </w:pPr>
      <w:r>
        <w:rPr>
          <w:sz w:val="22"/>
          <w:szCs w:val="22"/>
          <w:rFonts w:ascii="Arial" w:cs="Arial" w:eastAsia="Arial" w:hAnsi="Arial"/>
        </w:rPr>
        <w:t xml:space="preserve">Qué se requiere: Actualización de los protocolos internos de la AEMPS; formación de los CEIm acreditados sobre el nuevo procedimiento; adaptación del sistema CTIS (Clinical Trials Information System, Reglamento UE 536/2014) a nivel nacional; publicación de guías prácticas de aplicación por la AEMPS.</w:t>
      </w:r>
    </w:p>
    <w:p>
      <w:pPr>
        <w:spacing w:after="140" w:line="276"/>
        <w:jc w:val="left"/>
      </w:pPr>
      <w:r>
        <w:rPr>
          <w:sz w:val="22"/>
          <w:szCs w:val="22"/>
          <w:rFonts w:ascii="Arial" w:cs="Arial" w:eastAsia="Arial" w:hAnsi="Arial"/>
        </w:rPr>
        <w:t xml:space="preserve">Plazo: 3–6 meses tras la publicación en el BOE</w:t>
      </w:r>
    </w:p>
    <w:p>
      <w:pPr>
        <w:spacing w:after="140" w:line="276"/>
        <w:jc w:val="left"/>
      </w:pPr>
      <w:r>
        <w:rPr>
          <w:sz w:val="22"/>
          <w:szCs w:val="22"/>
          <w:rFonts w:ascii="Arial" w:cs="Arial" w:eastAsia="Arial" w:hAnsi="Arial"/>
        </w:rPr>
        <w:t xml:space="preserve">Documento clave: Circular o instrucción operativa de la AEMPS; guía de preguntas y respuestas (formato Q&amp;A) para promotores e investigadores</w:t>
      </w:r>
    </w:p>
    <w:p>
      <w:pPr>
        <w:spacing w:after="140" w:line="276"/>
        <w:jc w:val="left"/>
      </w:pPr>
      <w:r>
        <w:rPr>
          <w:sz w:val="22"/>
          <w:szCs w:val="22"/>
          <w:rFonts w:ascii="Arial" w:cs="Arial" w:eastAsia="Arial" w:hAnsi="Arial"/>
        </w:rPr>
        <w:t xml:space="preserve">Punto de entrada: Coordinación interna AEMPS-Ministerio de Sanidad; sesiones de información con la industria y centros investigadores</w:t>
      </w:r>
    </w:p>
    <w:p>
      <w:pPr>
        <w:spacing w:after="140" w:line="276"/>
        <w:jc w:val="left"/>
      </w:pPr>
      <w:r>
        <w:rPr>
          <w:sz w:val="22"/>
          <w:szCs w:val="22"/>
          <w:rFonts w:ascii="Arial" w:cs="Arial" w:eastAsia="Arial" w:hAnsi="Arial"/>
        </w:rPr>
        <w:t xml:space="preserve">Notas: La AEMPS ha reforzado su liderazgo en iniciativas europeas, como el primer procedimiento fast-track (FAST-EU) para ensayos clínicos multinacionales en la UE, promovido por los Jefes de Agencias de Medicamentos (HMA). La implementación del nuevo procedimiento debe ser coherente con este marco europeo y con el sistema CTIS, para no generar fricciones en la tramitación de ensayos multinacionales en los que España participa.</w:t>
      </w:r>
    </w:p>
    <w:p>
      <w:pPr>
        <w:spacing w:after="140" w:line="276"/>
        <w:jc w:val="left"/>
      </w:pPr>
      <w:r>
        <w:rPr>
          <w:sz w:val="22"/>
          <w:szCs w:val="22"/>
          <w:rFonts w:ascii="Arial" w:cs="Arial" w:eastAsia="Arial" w:hAnsi="Arial"/>
        </w:rPr>
        <w:t xml:space="preserve">🔄 Vía de Respaldo: Instrucción Operativa de la AEMPS (Circular Administrativa)</w:t>
      </w:r>
    </w:p>
    <w:p>
      <w:pPr>
        <w:spacing w:after="140" w:line="276"/>
        <w:jc w:val="left"/>
      </w:pPr>
      <w:r>
        <w:rPr>
          <w:sz w:val="22"/>
          <w:szCs w:val="22"/>
          <w:rFonts w:ascii="Arial" w:cs="Arial" w:eastAsia="Arial" w:hAnsi="Arial"/>
        </w:rPr>
        <w:t xml:space="preserve">En paralelo —y de forma inmediata— a la tramitación de la vía reglamentaria principal, la AEMPS puede emitir una instrucción operativa interna (o circular de carácter administrativo) que establezca, sin modificar formalmente el RD 1090/2015, un protocolo de tramitación preferente para terapias avanzadas con opinión científica positiva previa de la EMA. Esta vía es ejecutable en 3–6 meses sin tramitación normativa formal y sin audiencia pública, pero su efecto jurídico es limitado: no crea un derecho subjetivo al plazo reducido, es susceptible de impugnación contencioso-administrativa y no resuelve el problema de la duplicación de revisión de los CEIm, cuyas competencias tienen base legal. Debe configurarse como medida puente, no como solución definitiva.</w:t>
      </w:r>
    </w:p>
    <w:p>
      <w:pPr>
        <w:spacing w:after="140" w:line="276"/>
        <w:jc w:val="left"/>
      </w:pPr>
      <w:r>
        <w:rPr>
          <w:sz w:val="22"/>
          <w:szCs w:val="22"/>
          <w:rFonts w:ascii="Arial" w:cs="Arial" w:eastAsia="Arial" w:hAnsi="Arial"/>
        </w:rPr>
        <w:t xml:space="preserve">Pasos resumidos:</w:t>
      </w:r>
    </w:p>
    <w:p>
      <w:pPr>
        <w:spacing w:after="140" w:line="276"/>
        <w:jc w:val="left"/>
      </w:pPr>
      <w:r>
        <w:rPr>
          <w:sz w:val="22"/>
          <w:szCs w:val="22"/>
          <w:rFonts w:ascii="Arial" w:cs="Arial" w:eastAsia="Arial" w:hAnsi="Arial"/>
        </w:rPr>
        <w:t xml:space="preserve">Acuerdo interno AEMPS-Ministerio de Sanidad para emitir instrucción (1 mes)</w:t>
      </w:r>
    </w:p>
    <w:p>
      <w:pPr>
        <w:spacing w:after="140" w:line="276"/>
        <w:jc w:val="left"/>
      </w:pPr>
      <w:r>
        <w:rPr>
          <w:sz w:val="22"/>
          <w:szCs w:val="22"/>
          <w:rFonts w:ascii="Arial" w:cs="Arial" w:eastAsia="Arial" w:hAnsi="Arial"/>
        </w:rPr>
        <w:t xml:space="preserve">Redacción de la instrucción con criterios de priorización y plazos internos reducidos (1–2 meses)</w:t>
      </w:r>
    </w:p>
    <w:p>
      <w:pPr>
        <w:spacing w:after="140" w:line="276"/>
        <w:jc w:val="left"/>
      </w:pPr>
      <w:r>
        <w:rPr>
          <w:sz w:val="22"/>
          <w:szCs w:val="22"/>
          <w:rFonts w:ascii="Arial" w:cs="Arial" w:eastAsia="Arial" w:hAnsi="Arial"/>
        </w:rPr>
        <w:t xml:space="preserve">Publicación en la web de la AEMPS y comunicación a CEIm acreditados (1 mes)</w:t>
      </w:r>
    </w:p>
    <w:p>
      <w:pPr>
        <w:spacing w:after="140" w:line="276"/>
        <w:jc w:val="left"/>
      </w:pPr>
      <w:r>
        <w:rPr>
          <w:sz w:val="22"/>
          <w:szCs w:val="22"/>
          <w:rFonts w:ascii="Arial" w:cs="Arial" w:eastAsia="Arial" w:hAnsi="Arial"/>
        </w:rPr>
        <w:t xml:space="preserve">Aplicación experimental con seguimiento trimestral de tiempos reales (mes 4 en adelante)</w:t>
      </w:r>
    </w:p>
    <w:p>
      <w:pPr>
        <w:spacing w:after="140" w:line="276"/>
        <w:jc w:val="left"/>
      </w:pPr>
      <w:r>
        <w:rPr>
          <w:sz w:val="22"/>
          <w:szCs w:val="22"/>
          <w:rFonts w:ascii="Arial" w:cs="Arial" w:eastAsia="Arial" w:hAnsi="Arial"/>
        </w:rPr>
        <w:t xml:space="preserve">Uso de los datos de la instrucción como evidencia empírica para acelerar la tramitación del Real Decreto modificativo</w:t>
      </w:r>
    </w:p>
    <w:p>
      <w:pPr>
        <w:spacing w:after="140" w:line="276"/>
        <w:jc w:val="left"/>
      </w:pPr>
      <w:r>
        <w:rPr>
          <w:sz w:val="22"/>
          <w:szCs w:val="22"/>
          <w:rFonts w:ascii="Arial" w:cs="Arial" w:eastAsia="Arial" w:hAnsi="Arial"/>
        </w:rPr>
        <w:t xml:space="preserve">⏱️ Ventanas de Oportunidad</w:t>
      </w:r>
    </w:p>
    <w:p>
      <w:pPr>
        <w:spacing w:after="140" w:line="276"/>
        <w:jc w:val="left"/>
      </w:pPr>
      <w:r>
        <w:rPr>
          <w:sz w:val="22"/>
          <w:szCs w:val="22"/>
          <w:rFonts w:ascii="Arial" w:cs="Arial" w:eastAsia="Arial" w:hAnsi="Arial"/>
        </w:rPr>
        <w:t xml:space="preserve">Sesión parlamentaria ordinaria octubre 2026 – julio 2027: El Plan Profarma 2025-2026 y la Estrategia de la Industria Farmacéutica 2024-2028 crean un entorno político favorable para presentar la modificación reglamentaria como medida de competitividad antes de que el Plan Profarma expire. El Plan Profarma 2025-2026 persigue convertir a España en un líder europeo en producción farmacéutica y en el desarrollo de medicamentos, buscando fortalecer el empleo cualificado y aumentar la inversión extranjera. Actuar antes del cierre del Profarma (diciembre 2026) maximiza la alineación política.</w:t>
      </w:r>
    </w:p>
    <w:p>
      <w:pPr>
        <w:spacing w:after="140" w:line="276"/>
        <w:jc w:val="left"/>
      </w:pPr>
      <w:r>
        <w:rPr>
          <w:sz w:val="22"/>
          <w:szCs w:val="22"/>
          <w:rFonts w:ascii="Arial" w:cs="Arial" w:eastAsia="Arial" w:hAnsi="Arial"/>
        </w:rPr>
        <w:t xml:space="preserve">Anteproyecto de Ley de Medicamentos y Productos Sanitarios (tramitación en curso): Farmaindustria ha señalado que es fundamental mejorar las minoraciones de la Disposición Adicional 6ª a través del Anteproyecto de Ley de Medicamentos y Productos Sanitarios, y que la propia ley pueda crear nuevos incentivos para la inversión farmacéutica, incluyendo la inversión privada en el desarrollo clínico en España. Esta ventana legislativa permite, como alternativa de respaldo, insertar la vía acelerada como disposición en la nueva ley, si el proceso reglamentario se bloquea.</w:t>
      </w:r>
    </w:p>
    <w:p>
      <w:pPr>
        <w:spacing w:after="140" w:line="276"/>
        <w:jc w:val="left"/>
      </w:pPr>
      <w:r>
        <w:rPr>
          <w:sz w:val="22"/>
          <w:szCs w:val="22"/>
          <w:rFonts w:ascii="Arial" w:cs="Arial" w:eastAsia="Arial" w:hAnsi="Arial"/>
        </w:rPr>
        <w:t xml:space="preserve">Congreso Mundial de Terapias Avanzadas / Eventos de AseBio (segundo semestre 2026): Los foros sectoriales son ventanas de visibilidad para presentar la propuesta ante actores internacionales y generar presión mediática favorable. Más de 100 estudios realizados en España analizan terapias avanzadas, y existe un fuerte compromiso institucional con la investigación, el desarrollo y las actividades de fabricación en este ámbito.</w:t>
      </w:r>
    </w:p>
    <w:p>
      <w:pPr>
        <w:spacing w:after="140" w:line="276"/>
        <w:jc w:val="left"/>
      </w:pPr>
      <w:r>
        <w:rPr>
          <w:sz w:val="22"/>
          <w:szCs w:val="22"/>
          <w:rFonts w:ascii="Arial" w:cs="Arial" w:eastAsia="Arial" w:hAnsi="Arial"/>
        </w:rPr>
        <w:t xml:space="preserve">Proceso de revisión del Reglamento (UE) 536/2014 (CTR) y ACT-EU 2025-2026: El plan de trabajo de ACT-EU 2025-2026 explica que el objetivo de esta acción es acelerar los ensayos clínicos en la Unión Europea apoyando ensayos más inteligentes mediante múltiples procesos (innovación, regulatoria y tecnológica) para fomentar la innovación. Una reforma nacional bien diseñada puede presentarse como contribución española a la agenda europea ACT-EU, reforzando el argumento político.</w:t>
      </w:r>
    </w:p>
    <w:p>
      <w:pPr>
        <w:spacing w:after="140" w:line="276"/>
        <w:jc w:val="left"/>
      </w:pPr>
      <w:r>
        <w:rPr>
          <w:sz w:val="22"/>
          <w:szCs w:val="22"/>
          <w:rFonts w:ascii="Arial" w:cs="Arial" w:eastAsia="Arial" w:hAnsi="Arial"/>
        </w:rPr>
        <w:t xml:space="preserve">Periodo presupuestario 2027 (septiembre–diciembre 2026): Si la modificación requiere dotación presupuestaria para reforzar capacidades operativas de la AEMPS (personal técnico especializado en ATMPs), debe incluirse en los Presupuestos Generales del Estado para 2027. La ventana presupuestaria se abre en septiembre 2026 con la presentación del proyecto de Ley de Presupuestos.</w:t>
      </w:r>
    </w:p>
    <w:p>
      <w:pPr>
        <w:spacing w:after="140" w:line="276"/>
        <w:jc w:val="left"/>
      </w:pPr>
      <w:r>
        <w:rPr>
          <w:sz w:val="22"/>
          <w:szCs w:val="22"/>
          <w:rFonts w:ascii="Arial" w:cs="Arial" w:eastAsia="Arial" w:hAnsi="Arial"/>
        </w:rPr>
        <w:t xml:space="preserve">🎯 Puntos de Decisión Clave</w:t>
      </w:r>
    </w:p>
    <w:p>
      <w:pPr>
        <w:spacing w:after="140" w:line="276"/>
        <w:jc w:val="left"/>
      </w:pPr>
      <w:r>
        <w:rPr>
          <w:sz w:val="22"/>
          <w:szCs w:val="22"/>
          <w:rFonts w:ascii="Arial" w:cs="Arial" w:eastAsia="Arial" w:hAnsi="Arial"/>
        </w:rPr>
        <w:t xml:space="preserve">Punto 1: Encargo ministerial de elaboración del borrador</w:t>
      </w:r>
    </w:p>
    <w:p>
      <w:pPr>
        <w:spacing w:after="140" w:line="276"/>
        <w:jc w:val="left"/>
      </w:pPr>
      <w:r>
        <w:rPr>
          <w:sz w:val="22"/>
          <w:szCs w:val="22"/>
          <w:rFonts w:ascii="Arial" w:cs="Arial" w:eastAsia="Arial" w:hAnsi="Arial"/>
        </w:rPr>
        <w:t xml:space="preserve">Qué se decide: Si el Ministerio de Sanidad asume la iniciativa de modificar el RD 1090/2015 o pospone el proceso en favor de la nueva Ley de Medicamentos</w:t>
      </w:r>
    </w:p>
    <w:p>
      <w:pPr>
        <w:spacing w:after="140" w:line="276"/>
        <w:jc w:val="left"/>
      </w:pPr>
      <w:r>
        <w:rPr>
          <w:sz w:val="22"/>
          <w:szCs w:val="22"/>
          <w:rFonts w:ascii="Arial" w:cs="Arial" w:eastAsia="Arial" w:hAnsi="Arial"/>
        </w:rPr>
        <w:t xml:space="preserve">Quién decide: Mónica García (Ministra de Sanidad) y la Secretaría de Estado de Sanidad</w:t>
      </w:r>
    </w:p>
    <w:p>
      <w:pPr>
        <w:spacing w:after="140" w:line="276"/>
        <w:jc w:val="left"/>
      </w:pPr>
      <w:r>
        <w:rPr>
          <w:sz w:val="22"/>
          <w:szCs w:val="22"/>
          <w:rFonts w:ascii="Arial" w:cs="Arial" w:eastAsia="Arial" w:hAnsi="Arial"/>
        </w:rPr>
        <w:t xml:space="preserve">Qué lo influye: La calidad del documento de posición presentado; el respaldo explícito de Farmaindustria, AseBio y asociaciones de pacientes; la cobertura mediática sobre retrasos regulatorios en terapias avanzadas; la coordinación con el Ministerio de Industria (Jordi Hereu) para enmarcar la reforma como parte del Plan Profarma</w:t>
      </w:r>
    </w:p>
    <w:p>
      <w:pPr>
        <w:spacing w:after="140" w:line="276"/>
        <w:jc w:val="left"/>
      </w:pPr>
      <w:r>
        <w:rPr>
          <w:sz w:val="22"/>
          <w:szCs w:val="22"/>
          <w:rFonts w:ascii="Arial" w:cs="Arial" w:eastAsia="Arial" w:hAnsi="Arial"/>
        </w:rPr>
        <w:t xml:space="preserve">Cuándo: Meses 2–4 desde el inicio de la iniciativa</w:t>
      </w:r>
    </w:p>
    <w:p>
      <w:pPr>
        <w:spacing w:after="140" w:line="276"/>
        <w:jc w:val="left"/>
      </w:pPr>
      <w:r>
        <w:rPr>
          <w:sz w:val="22"/>
          <w:szCs w:val="22"/>
          <w:rFonts w:ascii="Arial" w:cs="Arial" w:eastAsia="Arial" w:hAnsi="Arial"/>
        </w:rPr>
        <w:t xml:space="preserve">Punto 2: Alcance de la limitación de los CEIm en el borrador</w:t>
      </w:r>
    </w:p>
    <w:p>
      <w:pPr>
        <w:spacing w:after="140" w:line="276"/>
        <w:jc w:val="left"/>
      </w:pPr>
      <w:r>
        <w:rPr>
          <w:sz w:val="22"/>
          <w:szCs w:val="22"/>
          <w:rFonts w:ascii="Arial" w:cs="Arial" w:eastAsia="Arial" w:hAnsi="Arial"/>
        </w:rPr>
        <w:t xml:space="preserve">Qué se decide: Si el borrador limita la revisión científica de los CEIm de forma vinculante (el CEIm sólo revisa aspectos éticos) o meramente orientativa (el CEIm puede revisar científicamente pero en plazo reducido)</w:t>
      </w:r>
    </w:p>
    <w:p>
      <w:pPr>
        <w:spacing w:after="140" w:line="276"/>
        <w:jc w:val="left"/>
      </w:pPr>
      <w:r>
        <w:rPr>
          <w:sz w:val="22"/>
          <w:szCs w:val="22"/>
          <w:rFonts w:ascii="Arial" w:cs="Arial" w:eastAsia="Arial" w:hAnsi="Arial"/>
        </w:rPr>
        <w:t xml:space="preserve">Quién decide: AEMPS (técnicamente) + Ministerio de Sanidad (políticamente) + Comité de Coordinación de CEIm</w:t>
      </w:r>
    </w:p>
    <w:p>
      <w:pPr>
        <w:spacing w:after="140" w:line="276"/>
        <w:jc w:val="left"/>
      </w:pPr>
      <w:r>
        <w:rPr>
          <w:sz w:val="22"/>
          <w:szCs w:val="22"/>
          <w:rFonts w:ascii="Arial" w:cs="Arial" w:eastAsia="Arial" w:hAnsi="Arial"/>
        </w:rPr>
        <w:t xml:space="preserve">Qué lo influye: La posición de los CEIm autonómicos más activos (Cataluña, Madrid, País Vasco); el dictamen del Consejo de Estado; los precedentes europeos de división de roles EMA-CEIm en el marco del CTR</w:t>
      </w:r>
    </w:p>
    <w:p>
      <w:pPr>
        <w:spacing w:after="140" w:line="276"/>
        <w:jc w:val="left"/>
      </w:pPr>
      <w:r>
        <w:rPr>
          <w:sz w:val="22"/>
          <w:szCs w:val="22"/>
          <w:rFonts w:ascii="Arial" w:cs="Arial" w:eastAsia="Arial" w:hAnsi="Arial"/>
        </w:rPr>
        <w:t xml:space="preserve">Cuándo: Meses 5–8 (elaboración del borrador)</w:t>
      </w:r>
    </w:p>
    <w:p>
      <w:pPr>
        <w:spacing w:after="140" w:line="276"/>
        <w:jc w:val="left"/>
      </w:pPr>
      <w:r>
        <w:rPr>
          <w:sz w:val="22"/>
          <w:szCs w:val="22"/>
          <w:rFonts w:ascii="Arial" w:cs="Arial" w:eastAsia="Arial" w:hAnsi="Arial"/>
        </w:rPr>
        <w:t xml:space="preserve">Punto 3: Audiencia pública y dictamen del Consejo de Estado</w:t>
      </w:r>
    </w:p>
    <w:p>
      <w:pPr>
        <w:spacing w:after="140" w:line="276"/>
        <w:jc w:val="left"/>
      </w:pPr>
      <w:r>
        <w:rPr>
          <w:sz w:val="22"/>
          <w:szCs w:val="22"/>
          <w:rFonts w:ascii="Arial" w:cs="Arial" w:eastAsia="Arial" w:hAnsi="Arial"/>
        </w:rPr>
        <w:t xml:space="preserve">Qué se decide: Si el Consejo de Estado valida la solución técnica adoptada para la limitación de los CEIm y si las observaciones de la audiencia pública obligan a reformular aspectos sustanciales del borrador</w:t>
      </w:r>
    </w:p>
    <w:p>
      <w:pPr>
        <w:spacing w:after="140" w:line="276"/>
        <w:jc w:val="left"/>
      </w:pPr>
      <w:r>
        <w:rPr>
          <w:sz w:val="22"/>
          <w:szCs w:val="22"/>
          <w:rFonts w:ascii="Arial" w:cs="Arial" w:eastAsia="Arial" w:hAnsi="Arial"/>
        </w:rPr>
        <w:t xml:space="preserve">Quién decide: Consejo de Estado (dictamen); Ministerio de Sanidad (decisión final sobre texto)</w:t>
      </w:r>
    </w:p>
    <w:p>
      <w:pPr>
        <w:spacing w:after="140" w:line="276"/>
        <w:jc w:val="left"/>
      </w:pPr>
      <w:r>
        <w:rPr>
          <w:sz w:val="22"/>
          <w:szCs w:val="22"/>
          <w:rFonts w:ascii="Arial" w:cs="Arial" w:eastAsia="Arial" w:hAnsi="Arial"/>
        </w:rPr>
        <w:t xml:space="preserve">Qué lo influye: Calidad técnica del borrador; posición de los CEIm en la audiencia pública; eventual impugnación de competencias autonómicas por parte de alguna comunidad autónoma; informe del Consejo Interterritorial del SNS</w:t>
      </w:r>
    </w:p>
    <w:p>
      <w:pPr>
        <w:spacing w:after="140" w:line="276"/>
        <w:jc w:val="left"/>
      </w:pPr>
      <w:r>
        <w:rPr>
          <w:sz w:val="22"/>
          <w:szCs w:val="22"/>
          <w:rFonts w:ascii="Arial" w:cs="Arial" w:eastAsia="Arial" w:hAnsi="Arial"/>
        </w:rPr>
        <w:t xml:space="preserve">Cuándo: Meses 9–13</w:t>
      </w:r>
    </w:p>
    <w:p>
      <w:pPr>
        <w:spacing w:after="140" w:line="276"/>
        <w:jc w:val="left"/>
      </w:pPr>
      <w:r>
        <w:rPr>
          <w:sz w:val="22"/>
          <w:szCs w:val="22"/>
          <w:rFonts w:ascii="Arial" w:cs="Arial" w:eastAsia="Arial" w:hAnsi="Arial"/>
        </w:rPr>
        <w:t xml:space="preserve">Punto 4: Aprobación en Consejo de Ministros</w:t>
      </w:r>
    </w:p>
    <w:p>
      <w:pPr>
        <w:spacing w:after="140" w:line="276"/>
        <w:jc w:val="left"/>
      </w:pPr>
      <w:r>
        <w:rPr>
          <w:sz w:val="22"/>
          <w:szCs w:val="22"/>
          <w:rFonts w:ascii="Arial" w:cs="Arial" w:eastAsia="Arial" w:hAnsi="Arial"/>
        </w:rPr>
        <w:t xml:space="preserve">Qué se decide: Fecha de aprobación y publicación en el BOE; posible diferimiento de la entrada en vigor</w:t>
      </w:r>
    </w:p>
    <w:p>
      <w:pPr>
        <w:spacing w:after="140" w:line="276"/>
        <w:jc w:val="left"/>
      </w:pPr>
      <w:r>
        <w:rPr>
          <w:sz w:val="22"/>
          <w:szCs w:val="22"/>
          <w:rFonts w:ascii="Arial" w:cs="Arial" w:eastAsia="Arial" w:hAnsi="Arial"/>
        </w:rPr>
        <w:t xml:space="preserve">Quién decide: Consejo de Ministros (Pedro Sánchez, Presidente; Mónica García, Ministra de Sanidad)</w:t>
      </w:r>
    </w:p>
    <w:p>
      <w:pPr>
        <w:spacing w:after="140" w:line="276"/>
        <w:jc w:val="left"/>
      </w:pPr>
      <w:r>
        <w:rPr>
          <w:sz w:val="22"/>
          <w:szCs w:val="22"/>
          <w:rFonts w:ascii="Arial" w:cs="Arial" w:eastAsia="Arial" w:hAnsi="Arial"/>
        </w:rPr>
        <w:t xml:space="preserve">Qué lo influye: Agenda del Consejo de Ministros; contexto político general de la coalición; ausencia de conflictos competenciales activos con comunidades autónomas que puedan bloquear políticamente la aprobación</w:t>
      </w:r>
    </w:p>
    <w:p>
      <w:pPr>
        <w:spacing w:after="140" w:line="276"/>
        <w:jc w:val="left"/>
      </w:pPr>
      <w:r>
        <w:rPr>
          <w:sz w:val="22"/>
          <w:szCs w:val="22"/>
          <w:rFonts w:ascii="Arial" w:cs="Arial" w:eastAsia="Arial" w:hAnsi="Arial"/>
        </w:rPr>
        <w:t xml:space="preserve">Cuándo: Meses 14–18</w:t>
      </w:r>
    </w:p>
    <w:p>
      <w:pPr>
        <w:spacing w:after="140" w:line="276"/>
        <w:jc w:val="left"/>
      </w:pPr>
      <w:r>
        <w:rPr>
          <w:sz w:val="22"/>
          <w:szCs w:val="22"/>
          <w:rFonts w:ascii="Arial" w:cs="Arial" w:eastAsia="Arial" w:hAnsi="Arial"/>
        </w:rPr>
        <w:t xml:space="preserve">⚠️ Riesgos y Estrategias de Navegación</w:t>
      </w:r>
    </w:p>
    <w:p>
      <w:pPr>
        <w:spacing w:after="140" w:line="276"/>
        <w:jc w:val="left"/>
      </w:pPr>
      <w:r>
        <w:rPr>
          <w:sz w:val="22"/>
          <w:szCs w:val="22"/>
          <w:rFonts w:ascii="Arial" w:cs="Arial" w:eastAsia="Arial" w:hAnsi="Arial"/>
        </w:rPr>
        <w:t xml:space="preserve">Riesgo</w:t>
      </w:r>
    </w:p>
    <w:p>
      <w:pPr>
        <w:spacing w:after="140" w:line="276"/>
        <w:jc w:val="left"/>
      </w:pPr>
      <w:r>
        <w:rPr>
          <w:sz w:val="22"/>
          <w:szCs w:val="22"/>
          <w:rFonts w:ascii="Arial" w:cs="Arial" w:eastAsia="Arial" w:hAnsi="Arial"/>
        </w:rPr>
        <w:t xml:space="preserve">Probabilidad</w:t>
      </w:r>
    </w:p>
    <w:p>
      <w:pPr>
        <w:spacing w:after="140" w:line="276"/>
        <w:jc w:val="left"/>
      </w:pPr>
      <w:r>
        <w:rPr>
          <w:sz w:val="22"/>
          <w:szCs w:val="22"/>
          <w:rFonts w:ascii="Arial" w:cs="Arial" w:eastAsia="Arial" w:hAnsi="Arial"/>
        </w:rPr>
        <w:t xml:space="preserve">Impacto</w:t>
      </w:r>
    </w:p>
    <w:p>
      <w:pPr>
        <w:spacing w:after="140" w:line="276"/>
        <w:jc w:val="left"/>
      </w:pPr>
      <w:r>
        <w:rPr>
          <w:sz w:val="22"/>
          <w:szCs w:val="22"/>
          <w:rFonts w:ascii="Arial" w:cs="Arial" w:eastAsia="Arial" w:hAnsi="Arial"/>
        </w:rPr>
        <w:t xml:space="preserve">Estrategia de Navegación</w:t>
      </w:r>
    </w:p>
    <w:p>
      <w:pPr>
        <w:spacing w:after="140" w:line="276"/>
        <w:jc w:val="left"/>
      </w:pPr>
      <w:r>
        <w:rPr>
          <w:sz w:val="22"/>
          <w:szCs w:val="22"/>
          <w:rFonts w:ascii="Arial" w:cs="Arial" w:eastAsia="Arial" w:hAnsi="Arial"/>
        </w:rPr>
        <w:t xml:space="preserve">Resistencia de los CEIm autonómicos (perciben la reforma como merma de sus competencias o de la protección de sujetos de investigación)</w:t>
      </w:r>
    </w:p>
    <w:p>
      <w:pPr>
        <w:spacing w:after="140" w:line="276"/>
        <w:jc w:val="left"/>
      </w:pPr>
      <w:r>
        <w:rPr>
          <w:sz w:val="22"/>
          <w:szCs w:val="22"/>
          <w:rFonts w:ascii="Arial" w:cs="Arial" w:eastAsia="Arial" w:hAnsi="Arial"/>
        </w:rPr>
        <w:t xml:space="preserve">Alta</w:t>
      </w:r>
    </w:p>
    <w:p>
      <w:pPr>
        <w:spacing w:after="140" w:line="276"/>
        <w:jc w:val="left"/>
      </w:pPr>
      <w:r>
        <w:rPr>
          <w:sz w:val="22"/>
          <w:szCs w:val="22"/>
          <w:rFonts w:ascii="Arial" w:cs="Arial" w:eastAsia="Arial" w:hAnsi="Arial"/>
        </w:rPr>
        <w:t xml:space="preserve">Alto</w:t>
      </w:r>
    </w:p>
    <w:p>
      <w:pPr>
        <w:spacing w:after="140" w:line="276"/>
        <w:jc w:val="left"/>
      </w:pPr>
      <w:r>
        <w:rPr>
          <w:sz w:val="22"/>
          <w:szCs w:val="22"/>
          <w:rFonts w:ascii="Arial" w:cs="Arial" w:eastAsia="Arial" w:hAnsi="Arial"/>
        </w:rPr>
        <w:t xml:space="preserve">Diseñar la reforma como redefinición de roles, no como supresión. El CEIm conserva la revisión ética plena; sólo se elimina la revisión científica duplicada cuando la EMA ya la ha realizado. Involucrar a la Coordinación del CISNS desde el inicio. Realizar sesiones de información y co-diseño con CEIm acreditados líderes (Hospital Universitario La Paz, Vall d&amp;apos;Hebron, etc.).</w:t>
      </w:r>
    </w:p>
    <w:p>
      <w:pPr>
        <w:spacing w:after="140" w:line="276"/>
        <w:jc w:val="left"/>
      </w:pPr>
      <w:r>
        <w:rPr>
          <w:sz w:val="22"/>
          <w:szCs w:val="22"/>
          <w:rFonts w:ascii="Arial" w:cs="Arial" w:eastAsia="Arial" w:hAnsi="Arial"/>
        </w:rPr>
        <w:t xml:space="preserve">Conflicto competencial con comunidades autónomas (Cataluña, País Vasco) que puedan entender la reforma como invasión de sus competencias en materia sanitaria (art. 149.1.16 CE)</w:t>
      </w:r>
    </w:p>
    <w:p>
      <w:pPr>
        <w:spacing w:after="140" w:line="276"/>
        <w:jc w:val="left"/>
      </w:pPr>
      <w:r>
        <w:rPr>
          <w:sz w:val="22"/>
          <w:szCs w:val="22"/>
          <w:rFonts w:ascii="Arial" w:cs="Arial" w:eastAsia="Arial" w:hAnsi="Arial"/>
        </w:rPr>
        <w:t xml:space="preserve">Media</w:t>
      </w:r>
    </w:p>
    <w:p>
      <w:pPr>
        <w:spacing w:after="140" w:line="276"/>
        <w:jc w:val="left"/>
      </w:pPr>
      <w:r>
        <w:rPr>
          <w:sz w:val="22"/>
          <w:szCs w:val="22"/>
          <w:rFonts w:ascii="Arial" w:cs="Arial" w:eastAsia="Arial" w:hAnsi="Arial"/>
        </w:rPr>
        <w:t xml:space="preserve">Alto</w:t>
      </w:r>
    </w:p>
    <w:p>
      <w:pPr>
        <w:spacing w:after="140" w:line="276"/>
        <w:jc w:val="left"/>
      </w:pPr>
      <w:r>
        <w:rPr>
          <w:sz w:val="22"/>
          <w:szCs w:val="22"/>
          <w:rFonts w:ascii="Arial" w:cs="Arial" w:eastAsia="Arial" w:hAnsi="Arial"/>
        </w:rPr>
        <w:t xml:space="preserve">Asegurar que el dictamen del Consejo de Estado aborda explícitamente el reparto competencial. La modificación del RD 1090/2015 tiene amparo en la competencia estatal en legislación básica sobre productos farmacéuticos (art. 149.1.16 CE). Consultar previamente con el CISNS para generar consenso interterritorial.</w:t>
      </w:r>
    </w:p>
    <w:p>
      <w:pPr>
        <w:spacing w:after="140" w:line="276"/>
        <w:jc w:val="left"/>
      </w:pPr>
      <w:r>
        <w:rPr>
          <w:sz w:val="22"/>
          <w:szCs w:val="22"/>
          <w:rFonts w:ascii="Arial" w:cs="Arial" w:eastAsia="Arial" w:hAnsi="Arial"/>
        </w:rPr>
        <w:t xml:space="preserve">Bloqueo político por inestabilidad del gobierno minoritario (pérdida de apoyos parlamentarios antes de la aprobación del Real Decreto)</w:t>
      </w:r>
    </w:p>
    <w:p>
      <w:pPr>
        <w:spacing w:after="140" w:line="276"/>
        <w:jc w:val="left"/>
      </w:pPr>
      <w:r>
        <w:rPr>
          <w:sz w:val="22"/>
          <w:szCs w:val="22"/>
          <w:rFonts w:ascii="Arial" w:cs="Arial" w:eastAsia="Arial" w:hAnsi="Arial"/>
        </w:rPr>
        <w:t xml:space="preserve">Media</w:t>
      </w:r>
    </w:p>
    <w:p>
      <w:pPr>
        <w:spacing w:after="140" w:line="276"/>
        <w:jc w:val="left"/>
      </w:pPr>
      <w:r>
        <w:rPr>
          <w:sz w:val="22"/>
          <w:szCs w:val="22"/>
          <w:rFonts w:ascii="Arial" w:cs="Arial" w:eastAsia="Arial" w:hAnsi="Arial"/>
        </w:rPr>
        <w:t xml:space="preserve">Medio</w:t>
      </w:r>
    </w:p>
    <w:p>
      <w:pPr>
        <w:spacing w:after="140" w:line="276"/>
        <w:jc w:val="left"/>
      </w:pPr>
      <w:r>
        <w:rPr>
          <w:sz w:val="22"/>
          <w:szCs w:val="22"/>
          <w:rFonts w:ascii="Arial" w:cs="Arial" w:eastAsia="Arial" w:hAnsi="Arial"/>
        </w:rPr>
        <w:t xml:space="preserve">La vía reglamentaria no requiere votación parlamentaria; el riesgo se materializa sólo si hay una moción de censura exitosa o dimisión del gobierno antes de la aprobación en Consejo de Ministros. Acelerar los pasos administrativos; utilizar la ventana del Plan Profarma 2025-2026.</w:t>
      </w:r>
    </w:p>
    <w:p>
      <w:pPr>
        <w:spacing w:after="140" w:line="276"/>
        <w:jc w:val="left"/>
      </w:pPr>
      <w:r>
        <w:rPr>
          <w:sz w:val="22"/>
          <w:szCs w:val="22"/>
          <w:rFonts w:ascii="Arial" w:cs="Arial" w:eastAsia="Arial" w:hAnsi="Arial"/>
        </w:rPr>
        <w:t xml:space="preserve">Impugnación contencioso-administrativa posterior por parte de un CEIm o comunidad autónoma que considere que el nuevo procedimiento vulnera la Ley de Investigación Biomédica (Ley 14/2007) o el Reglamento UE 536/2014</w:t>
      </w:r>
    </w:p>
    <w:p>
      <w:pPr>
        <w:spacing w:after="140" w:line="276"/>
        <w:jc w:val="left"/>
      </w:pPr>
      <w:r>
        <w:rPr>
          <w:sz w:val="22"/>
          <w:szCs w:val="22"/>
          <w:rFonts w:ascii="Arial" w:cs="Arial" w:eastAsia="Arial" w:hAnsi="Arial"/>
        </w:rPr>
        <w:t xml:space="preserve">Baja-Media</w:t>
      </w:r>
    </w:p>
    <w:p>
      <w:pPr>
        <w:spacing w:after="140" w:line="276"/>
        <w:jc w:val="left"/>
      </w:pPr>
      <w:r>
        <w:rPr>
          <w:sz w:val="22"/>
          <w:szCs w:val="22"/>
          <w:rFonts w:ascii="Arial" w:cs="Arial" w:eastAsia="Arial" w:hAnsi="Arial"/>
        </w:rPr>
        <w:t xml:space="preserve">Alto</w:t>
      </w:r>
    </w:p>
    <w:p>
      <w:pPr>
        <w:spacing w:after="140" w:line="276"/>
        <w:jc w:val="left"/>
      </w:pPr>
      <w:r>
        <w:rPr>
          <w:sz w:val="22"/>
          <w:szCs w:val="22"/>
          <w:rFonts w:ascii="Arial" w:cs="Arial" w:eastAsia="Arial" w:hAnsi="Arial"/>
        </w:rPr>
        <w:t xml:space="preserve">Asegurar coherencia del borrador con el Reglamento (UE) 536/2014 y con la Ley 14/2007. Obtener dictamen favorable del Consejo de Estado. Incluir en la exposición de motivos una justificación detallada del encaje con el Reglamento europeo y con el reparto de roles EMA-CEIm establecido en el CTR.</w:t>
      </w:r>
    </w:p>
    <w:p>
      <w:pPr>
        <w:spacing w:after="140" w:line="276"/>
        <w:jc w:val="left"/>
      </w:pPr>
      <w:r>
        <w:rPr>
          <w:sz w:val="22"/>
          <w:szCs w:val="22"/>
          <w:rFonts w:ascii="Arial" w:cs="Arial" w:eastAsia="Arial" w:hAnsi="Arial"/>
        </w:rPr>
        <w:t xml:space="preserve">Dilación por prioridad política de la nueva Ley de Medicamentos (el Ministerio de Sanidad puede preferir esperar a la ley de rango superior para incluir la reforma)</w:t>
      </w:r>
    </w:p>
    <w:p>
      <w:pPr>
        <w:spacing w:after="140" w:line="276"/>
        <w:jc w:val="left"/>
      </w:pPr>
      <w:r>
        <w:rPr>
          <w:sz w:val="22"/>
          <w:szCs w:val="22"/>
          <w:rFonts w:ascii="Arial" w:cs="Arial" w:eastAsia="Arial" w:hAnsi="Arial"/>
        </w:rPr>
        <w:t xml:space="preserve">Media</w:t>
      </w:r>
    </w:p>
    <w:p>
      <w:pPr>
        <w:spacing w:after="140" w:line="276"/>
        <w:jc w:val="left"/>
      </w:pPr>
      <w:r>
        <w:rPr>
          <w:sz w:val="22"/>
          <w:szCs w:val="22"/>
          <w:rFonts w:ascii="Arial" w:cs="Arial" w:eastAsia="Arial" w:hAnsi="Arial"/>
        </w:rPr>
        <w:t xml:space="preserve">Medio</w:t>
      </w:r>
    </w:p>
    <w:p>
      <w:pPr>
        <w:spacing w:after="140" w:line="276"/>
        <w:jc w:val="left"/>
      </w:pPr>
      <w:r>
        <w:rPr>
          <w:sz w:val="22"/>
          <w:szCs w:val="22"/>
          <w:rFonts w:ascii="Arial" w:cs="Arial" w:eastAsia="Arial" w:hAnsi="Arial"/>
        </w:rPr>
        <w:t xml:space="preserve">Argumentar que la modificación reglamentaria es complementaria —no alternativa— a la nueva ley. Puede tramitarse en paralelo. Si hay señales claras de dilación, activar la vía de respaldo (Instrucción Operativa AEMPS) como medida puente.</w:t>
      </w:r>
    </w:p>
    <w:p>
      <w:pPr>
        <w:spacing w:after="140" w:line="276"/>
        <w:jc w:val="left"/>
      </w:pPr>
      <w:r>
        <w:rPr>
          <w:sz w:val="22"/>
          <w:szCs w:val="22"/>
          <w:rFonts w:ascii="Arial" w:cs="Arial" w:eastAsia="Arial" w:hAnsi="Arial"/>
        </w:rPr>
        <w:t xml:space="preserve">📋 Próximos Pasos Inmediatos (30 días)</w:t>
      </w:r>
    </w:p>
    <w:p>
      <w:pPr>
        <w:spacing w:after="140" w:line="276"/>
        <w:jc w:val="left"/>
      </w:pPr>
      <w:r>
        <w:rPr>
          <w:sz w:val="22"/>
          <w:szCs w:val="22"/>
          <w:rFonts w:ascii="Arial" w:cs="Arial" w:eastAsia="Arial" w:hAnsi="Arial"/>
        </w:rPr>
        <w:t xml:space="preserve">Constituir el grupo promotor técnico (semana 1-2): Reunión de coordinación entre Farmaindustria (Humberto Arnés), AseBio y al menos dos hospitales de referencia en terapias avanzadas (Hospital Universitario La Paz —CAR-T adultos— y Hospital Vall d&amp;apos;Hebron). Designar un coordinador técnico-jurídico del proceso. Fecha límite: 30 de abril 2026.</w:t>
      </w:r>
    </w:p>
    <w:p>
      <w:pPr>
        <w:spacing w:after="140" w:line="276"/>
        <w:jc w:val="left"/>
      </w:pPr>
      <w:r>
        <w:rPr>
          <w:sz w:val="22"/>
          <w:szCs w:val="22"/>
          <w:rFonts w:ascii="Arial" w:cs="Arial" w:eastAsia="Arial" w:hAnsi="Arial"/>
        </w:rPr>
        <w:t xml:space="preserve">Redactar el documento de posición (semana 2-4): Elaborar el escrito de posición en formato español estándar (5-8 páginas, secciones numeradas) que incluya: (i) descripción del problema regulatorio con datos cuantitativos de tiempos reales de autorización en España vs. Reino Unido y Países Bajos; (ii) propuesta articulada de modificación del RD 1090/2015; (iii) precedente FAST-EU y ACT-EU; (iv) impacto estimado en ensayos adicionales captados para España. Fecha límite: 15 de mayo 2026.</w:t>
      </w:r>
    </w:p>
    <w:p>
      <w:pPr>
        <w:spacing w:after="140" w:line="276"/>
        <w:jc w:val="left"/>
      </w:pPr>
      <w:r>
        <w:rPr>
          <w:sz w:val="22"/>
          <w:szCs w:val="22"/>
          <w:rFonts w:ascii="Arial" w:cs="Arial" w:eastAsia="Arial" w:hAnsi="Arial"/>
        </w:rPr>
        <w:t xml:space="preserve">Solicitar reunión formal con la Oficina de Apoyo a la Innovación de la AEMPS (semana 2): Enviar solicitud de reunión técnica a la Directora María Jesús Lamas Díaz con el borrador del documento de posición como documento preparatorio. La AEMPS ha demostrado apertura a reducir tiempos de evaluación y es el aliado institucional clave en esta fase. Fecha límite: 5 de mayo 2026.</w:t>
      </w:r>
    </w:p>
    <w:p>
      <w:pPr>
        <w:spacing w:after="140" w:line="276"/>
        <w:jc w:val="left"/>
      </w:pPr>
      <w:r>
        <w:rPr>
          <w:sz w:val="22"/>
          <w:szCs w:val="22"/>
          <w:rFonts w:ascii="Arial" w:cs="Arial" w:eastAsia="Arial" w:hAnsi="Arial"/>
        </w:rPr>
        <w:t xml:space="preserve">Activar alianza con la Plataforma de Organizaciones de Pacientes (POP) y FEDER (semana 3): Presentar la propuesta a la POP y a la Federación Española de Enfermedades Raras (Juan Carrión Tudela, Presidente) para obtener adhesión formal. El argumento del acceso acelerado del paciente a terapias innovadoras refuerza políticamente la propuesta ante el Ministerio de Sanidad. Fecha límite: 10 de mayo 2026.</w:t>
      </w:r>
    </w:p>
    <w:p>
      <w:pPr>
        <w:spacing w:after="140" w:line="276"/>
        <w:jc w:val="left"/>
      </w:pPr>
      <w:r>
        <w:rPr>
          <w:sz w:val="22"/>
          <w:szCs w:val="22"/>
          <w:rFonts w:ascii="Arial" w:cs="Arial" w:eastAsia="Arial" w:hAnsi="Arial"/>
        </w:rPr>
        <w:t xml:space="preserve">Contacto con el Ministerio de Industria y Turismo (semana 3-4): Reunión con el Gabinete del Ministro Jordi Hereu para alinear la propuesta con el marco del Plan Profarma 2025-2026 y solicitar que el Ministerio de Industria copatrocine formalmente la iniciativa ante el Ministerio de Sanidad. Este respaldo interministerial acelera el proceso. Fecha límite: 20 de mayo 2026.</w:t>
      </w:r>
    </w:p>
    <w:p>
      <w:pPr>
        <w:spacing w:after="140" w:line="276"/>
        <w:jc w:val="left"/>
      </w:pPr>
      <w:r>
        <w:rPr>
          <w:sz w:val="22"/>
          <w:szCs w:val="22"/>
          <w:rFonts w:ascii="Arial" w:cs="Arial" w:eastAsia="Arial" w:hAnsi="Arial"/>
        </w:rPr>
        <w:t xml:space="preserve">Preparar la memoria económica preliminar (semana 4): Encomendar a un equipo técnico-económico (FEDEA u otra institución de referencia) la elaboración de una estimación del impacto económico de la reforma: número de ensayos adicionales atraídos, gasto estimado en investigación clínica en España, ahorro en tiempos administrativos para la AEMPS. Este documento es obligatorio para la tramitación formal del Real Decreto (art. 7, Ley 50/1997, del Gobierno) y anticiparlo reduce los tiempos en fases posteriores. Fecha límite: 31 de mayo 2026.</w:t>
      </w:r>
    </w:p>
    <w:p>
      <w:pPr>
        <w:spacing w:after="140" w:line="276"/>
        <w:jc w:val="left"/>
      </w:pPr>
      <w:r>
        <w:rPr>
          <w:sz w:val="22"/>
          <w:szCs w:val="22"/>
          <w:rFonts w:ascii="Arial" w:cs="Arial" w:eastAsia="Arial" w:hAnsi="Arial"/>
        </w:rPr>
        <w:t xml:space="preserve">📚 Fuentes y Documentos de Referencia</w:t>
      </w:r>
    </w:p>
    <w:p>
      <w:pPr>
        <w:spacing w:after="140" w:line="276"/>
        <w:jc w:val="left"/>
      </w:pPr>
      <w:r>
        <w:rPr>
          <w:sz w:val="22"/>
          <w:szCs w:val="22"/>
          <w:rFonts w:ascii="Arial" w:cs="Arial" w:eastAsia="Arial" w:hAnsi="Arial"/>
        </w:rPr>
        <w:t xml:space="preserve">Real Decreto 1090/2015, de 4 de diciembre — Marco normativo vigente de ensayos clínicos en España. Texto oficial: boe.es</w:t>
      </w:r>
    </w:p>
    <w:p>
      <w:pPr>
        <w:spacing w:after="140" w:line="276"/>
        <w:jc w:val="left"/>
      </w:pPr>
      <w:r>
        <w:rPr>
          <w:sz w:val="22"/>
          <w:szCs w:val="22"/>
          <w:rFonts w:ascii="Arial" w:cs="Arial" w:eastAsia="Arial" w:hAnsi="Arial"/>
        </w:rPr>
        <w:t xml:space="preserve">Real Decreto Legislativo 1/2015, de 24 de julio — Texto refundido de la Ley de garantías y uso racional de medicamentos. Texto oficial: boe.es</w:t>
      </w:r>
    </w:p>
    <w:p>
      <w:pPr>
        <w:spacing w:after="140" w:line="276"/>
        <w:jc w:val="left"/>
      </w:pPr>
      <w:r>
        <w:rPr>
          <w:sz w:val="22"/>
          <w:szCs w:val="22"/>
          <w:rFonts w:ascii="Arial" w:cs="Arial" w:eastAsia="Arial" w:hAnsi="Arial"/>
        </w:rPr>
        <w:t xml:space="preserve">Reglamento (UE) n.º 536/2014 del Parlamento Europeo y del Consejo — Regulación europea de ensayos clínicos (CTR); aplicable desde enero 2022. Base del sistema CTIS.</w:t>
      </w:r>
    </w:p>
    <w:p>
      <w:pPr>
        <w:spacing w:after="140" w:line="276"/>
        <w:jc w:val="left"/>
      </w:pPr>
      <w:r>
        <w:rPr>
          <w:sz w:val="22"/>
          <w:szCs w:val="22"/>
          <w:rFonts w:ascii="Arial" w:cs="Arial" w:eastAsia="Arial" w:hAnsi="Arial"/>
        </w:rPr>
        <w:t xml:space="preserve">Reglamento (CE) n.º 1394/2007 — Marco europeo de medicamentos de terapia avanzada (ATMPs).</w:t>
      </w:r>
    </w:p>
    <w:p>
      <w:pPr>
        <w:spacing w:after="140" w:line="276"/>
        <w:jc w:val="left"/>
      </w:pPr>
      <w:r>
        <w:rPr>
          <w:sz w:val="22"/>
          <w:szCs w:val="22"/>
          <w:rFonts w:ascii="Arial" w:cs="Arial" w:eastAsia="Arial" w:hAnsi="Arial"/>
        </w:rPr>
        <w:t xml:space="preserve">AEMPS — Terapias Avanzadas (actualizado enero 2026): https://www.aemps.gob.es/medicamentos-de-uso-humano/medicamentos-biologicos/terapias-avanzadas/</w:t>
      </w:r>
    </w:p>
    <w:p>
      <w:pPr>
        <w:spacing w:after="140" w:line="276"/>
        <w:jc w:val="left"/>
      </w:pPr>
      <w:r>
        <w:rPr>
          <w:sz w:val="22"/>
          <w:szCs w:val="22"/>
          <w:rFonts w:ascii="Arial" w:cs="Arial" w:eastAsia="Arial" w:hAnsi="Arial"/>
        </w:rPr>
        <w:t xml:space="preserve">Plan Profarma 2025-2026 — Ministerio de Industria y Turismo (julio 2025): https://www.lamoncloa.gob.es/serviciosdeprensa/notasprensa/industria-turismo/Paginas/2025/140725-plan-proforma-farmaceutica.aspx</w:t>
      </w:r>
    </w:p>
    <w:p>
      <w:pPr>
        <w:spacing w:after="140" w:line="276"/>
        <w:jc w:val="left"/>
      </w:pPr>
      <w:r>
        <w:rPr>
          <w:sz w:val="22"/>
          <w:szCs w:val="22"/>
          <w:rFonts w:ascii="Arial" w:cs="Arial" w:eastAsia="Arial" w:hAnsi="Arial"/>
        </w:rPr>
        <w:t xml:space="preserve">AEMPS — Normativa sobre Ensayos Clínicos (actualizado diciembre 2025): https://www.aemps.gob.es/la-aemps/legislacion/normativa-sobre-ensayos-clinicos-con-medicamentos-de-uso-humano/</w:t>
      </w:r>
    </w:p>
    <w:p>
      <w:pPr>
        <w:spacing w:after="140" w:line="276"/>
        <w:jc w:val="left"/>
      </w:pPr>
      <w:r>
        <w:rPr>
          <w:sz w:val="22"/>
          <w:szCs w:val="22"/>
          <w:rFonts w:ascii="Arial" w:cs="Arial" w:eastAsia="Arial" w:hAnsi="Arial"/>
        </w:rPr>
        <w:t xml:space="preserve">AseBio — España líder en investigación de terapias avanzadas en la UE (2024): https://www.asebio.com/en/actualidad/noticias/espana-lider-ue-2024-investigacion-terapias-avanzadas</w:t>
      </w:r>
    </w:p>
    <w:p>
      <w:pPr>
        <w:spacing w:after="140" w:line="276"/>
        <w:jc w:val="left"/>
      </w:pPr>
      <w:r>
        <w:rPr>
          <w:sz w:val="22"/>
          <w:szCs w:val="22"/>
          <w:rFonts w:ascii="Arial" w:cs="Arial" w:eastAsia="Arial" w:hAnsi="Arial"/>
        </w:rPr>
        <w:t xml:space="preserve">ACT-EU — Plan de Trabajo 2025-2026: https://www.eurogct.org/research-pathways/research-and-innovation/early-interactions-regulators/support-innovative-2</w:t>
      </w:r>
    </w:p>
    <w:p>
      <w:pPr>
        <w:spacing w:after="140" w:line="276"/>
        <w:jc w:val="left"/>
      </w:pPr>
      <w:r>
        <w:rPr>
          <w:sz w:val="22"/>
          <w:szCs w:val="22"/>
          <w:rFonts w:ascii="Arial" w:cs="Arial" w:eastAsia="Arial" w:hAnsi="Arial"/>
        </w:rPr>
        <w:t xml:space="preserve">Ley 50/1997, de 27 de noviembre, del Gobierno — Procedimiento de elaboración de normas reglamentarias (arts. 24-26).</w:t>
      </w:r>
    </w:p>
    <w:p>
      <w:pPr>
        <w:spacing w:after="140" w:line="276"/>
        <w:jc w:val="left"/>
      </w:pPr>
      <w:r>
        <w:rPr>
          <w:sz w:val="22"/>
          <w:szCs w:val="22"/>
          <w:rFonts w:ascii="Arial" w:cs="Arial" w:eastAsia="Arial" w:hAnsi="Arial"/>
        </w:rPr>
        <w:t xml:space="preserve">Constitución Española, art. 149.1.16 — Competencia estatal en legislación básica y coordinación general de la sanidad.</w:t>
      </w:r>
    </w:p>
    <w:p>
      <w:pPr>
        <w:spacing w:after="140" w:line="276"/>
        <w:jc w:val="left"/>
      </w:pPr>
      <w:r>
        <w:rPr>
          <w:sz w:val="22"/>
          <w:szCs w:val="22"/>
          <w:rFonts w:ascii="Arial" w:cs="Arial" w:eastAsia="Arial" w:hAnsi="Arial"/>
        </w:rPr>
        <w:t xml:space="preserve">⚠️ INFORME GENERADO POR IA — AVISO LEGAL</w:t>
      </w:r>
    </w:p>
    <w:p>
      <w:pPr>
        <w:spacing w:after="140" w:line="276"/>
        <w:jc w:val="left"/>
      </w:pPr>
      <w:r>
        <w:rPr>
          <w:sz w:val="22"/>
          <w:szCs w:val="22"/>
          <w:rFonts w:ascii="Arial" w:cs="Arial" w:eastAsia="Arial" w:hAnsi="Arial"/>
        </w:rPr>
        <w:t xml:space="preserve">Este mapa de ruta ha sido elaborado por inteligencia artificial. Su propósito es exclusivamente el de apoyo estratégico e investigación. Toda la información legislativa, procedimental y política debe ser verificada de forma independiente antes de su uso en contextos profesionales o de incidencia política.</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0D0" w:sz="6" w:space="4"/>
      </w:pBdr>
      <w:jc w:val="right"/>
    </w:pPr>
    <w:r>
      <w:rPr>
        <w:color w:val="888888"/>
        <w:sz w:val="18"/>
        <w:szCs w:val="18"/>
        <w:rFonts w:ascii="Arial" w:cs="Arial" w:eastAsia="Arial" w:hAnsi="Arial"/>
      </w:rPr>
      <w:t xml:space="preserve">Page </w:t>
    </w:r>
    <w:r>
      <w:rPr>
        <w:color w:val="888888"/>
        <w:sz w:val="18"/>
        <w:szCs w:val="18"/>
        <w:rFonts w:ascii="Arial" w:cs="Arial" w:eastAsia="Arial" w:hAnsi="Arial"/>
      </w:rPr>
      <w:fldChar w:fldCharType="begin"/>
      <w:instrText xml:space="preserve">PAGE</w:instrText>
      <w:fldChar w:fldCharType="separate"/>
      <w:fldChar w:fldCharType="end"/>
    </w:r>
    <w:r>
      <w:rPr>
        <w:color w:val="888888"/>
        <w:sz w:val="18"/>
        <w:szCs w:val="18"/>
        <w:rFonts w:ascii="Arial" w:cs="Arial" w:eastAsia="Arial" w:hAnsi="Arial"/>
      </w:rPr>
      <w:t xml:space="preserve"> of </w:t>
    </w:r>
    <w:r>
      <w:rPr>
        <w:color w:val="888888"/>
        <w:sz w:val="18"/>
        <w:szCs w:val="18"/>
        <w:rFonts w:ascii="Arial" w:cs="Arial" w:eastAsia="Arial" w:hAnsi="Arial"/>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0D0D0" w:sz="6" w:space="4"/>
      </w:pBdr>
      <w:spacing w:after="0"/>
      <w:jc w:val="left"/>
    </w:pPr>
    <w:r>
      <w:rPr>
        <w:color w:val="888888"/>
        <w:sz w:val="18"/>
        <w:szCs w:val="18"/>
        <w:rFonts w:ascii="Arial" w:cs="Arial" w:eastAsia="Arial" w:hAnsi="Arial"/>
      </w:rPr>
      <w:t xml:space="preserve">Vía de Aprobación Acelerada — Terapias Avanzadas</w:t>
    </w:r>
    <w:r>
      <w:rPr>
        <w:color w:val="bbbbbb"/>
        <w:sz w:val="18"/>
        <w:szCs w:val="18"/>
        <w:rFonts w:ascii="Arial" w:cs="Arial" w:eastAsia="Arial" w:hAnsi="Arial"/>
      </w:rPr>
      <w:t xml:space="preserve">  |  </w:t>
    </w:r>
    <w:r>
      <w:rPr>
        <w:color w:val="888888"/>
        <w:sz w:val="18"/>
        <w:szCs w:val="18"/>
        <w:rFonts w:ascii="Arial" w:cs="Arial" w:eastAsia="Arial" w:hAnsi="Arial"/>
      </w:rPr>
      <w:t xml:space="preserve">España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Arial" w:cs="Arial" w:eastAsia="Arial" w:hAnsi="Arial"/>
      </w:rPr>
    </w:rPrDefault>
    <w:pPrDefault>
      <w:pPr>
        <w:jc w:val="left"/>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ListParagraph">
    <w:name w:val="List Paragraph"/>
    <w:basedOn w:val="Normal"/>
    <w:next w:val="Normal"/>
    <w:qFormat/>
    <w:pPr>
      <w:ind w:left="0" w:right="0"/>
      <w:jc w:val="left"/>
    </w:pPr>
    <w:rPr>
      <w:sz w:val="22"/>
      <w:szCs w:val="22"/>
      <w:rFonts w:ascii="Arial" w:cs="Arial" w:eastAsia="Arial" w:hAnsi="Arial"/>
    </w:rPr>
  </w:style>
  <w:style w:type="paragraph" w:styleId="Heading1">
    <w:name w:val="Heading 1"/>
    <w:basedOn w:val="Normal"/>
    <w:next w:val="Normal"/>
    <w:qFormat/>
    <w:pPr>
      <w:spacing w:before="300" w:after="160"/>
      <w:jc w:val="left"/>
      <w:outlineLvl w:val="0"/>
    </w:pPr>
    <w:rPr>
      <w:b/>
      <w:bCs/>
      <w:color w:val="1B2B4B"/>
      <w:sz w:val="36"/>
      <w:szCs w:val="36"/>
      <w:rFonts w:ascii="Arial" w:cs="Arial" w:eastAsia="Arial" w:hAnsi="Arial"/>
    </w:rPr>
  </w:style>
  <w:style w:type="paragraph" w:styleId="Heading2">
    <w:name w:val="Heading 2"/>
    <w:basedOn w:val="Normal"/>
    <w:next w:val="Normal"/>
    <w:qFormat/>
    <w:pPr>
      <w:spacing w:before="200" w:after="100"/>
      <w:jc w:val="left"/>
      <w:outlineLvl w:val="1"/>
    </w:pPr>
    <w:rPr>
      <w:b/>
      <w:bCs/>
      <w:color w:val="1B2B4B"/>
      <w:sz w:val="26"/>
      <w:szCs w:val="26"/>
      <w:rFonts w:ascii="Arial" w:cs="Arial" w:eastAsia="Arial" w:hAnsi="Arial"/>
    </w:rPr>
  </w:style>
  <w:style w:type="paragraph" w:styleId="Heading3">
    <w:name w:val="Heading 3"/>
    <w:basedOn w:val="Normal"/>
    <w:next w:val="Normal"/>
    <w:qFormat/>
    <w:pPr>
      <w:spacing w:before="160" w:after="80"/>
      <w:jc w:val="left"/>
      <w:outlineLvl w:val="2"/>
    </w:pPr>
    <w:rPr>
      <w:b/>
      <w:bCs/>
      <w:color w:val="1B2B4B"/>
      <w:sz w:val="23"/>
      <w:szCs w:val="23"/>
      <w:rFonts w:ascii="Arial" w:cs="Arial" w:eastAsia="Arial" w:hAnsi="Arial"/>
    </w:rPr>
  </w:style>
  <w:style w:type="paragraph" w:styleId="Normal">
    <w:name w:val="Normal"/>
    <w:pPr>
      <w:jc w:val="left"/>
    </w:p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2026-04-20T15:24:56.795Z</dcterms:created>
  <dcterms:modified xsi:type="dcterms:W3CDTF">2026-04-20T15:24:56.795Z</dcterms:modified>
</cp:coreProperties>
</file>

<file path=docProps/custom.xml><?xml version="1.0" encoding="utf-8"?>
<Properties xmlns="http://schemas.openxmlformats.org/officeDocument/2006/custom-properties" xmlns:vt="http://schemas.openxmlformats.org/officeDocument/2006/docPropsVTypes"/>
</file>