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line="240"/>
        <w:jc w:val="left"/>
      </w:pPr>
      <w:r>
        <w:rPr>
          <w:sz w:val="22"/>
          <w:szCs w:val="22"/>
          <w:rFonts w:ascii="Arial" w:cs="Arial" w:eastAsia="Arial" w:hAnsi="Arial"/>
        </w:rPr>
      </w:r>
    </w:p>
    <w:p>
      <w:pPr>
        <w:pBdr>
          <w:top w:val="none" w:color="1B2B4B" w:sz="0"/>
          <w:bottom w:val="none" w:color="1B2B4B" w:sz="0"/>
          <w:left w:val="none" w:color="1B2B4B" w:sz="0"/>
          <w:right w:val="none" w:color="1B2B4B" w:sz="0"/>
        </w:pBdr>
        <w:shd w:fill="1B2B4B" w:val="clear"/>
        <w:spacing w:after="0"/>
        <w:jc w:val="left"/>
      </w:pPr>
      <w:r>
        <w:rPr>
          <w:b/>
          <w:bCs/>
          <w:color w:val="FFFFFF"/>
          <w:sz w:val="28"/>
          <w:szCs w:val="28"/>
          <w:rFonts w:ascii="Arial" w:cs="Arial" w:eastAsia="Arial" w:hAnsi="Arial"/>
        </w:rPr>
        <w:t xml:space="preserve">Mappa del Percorso Legislativo: Estensione del Periodo di Ripristino Brevettuale Farmaceutico da 5 a 7 Anni</w:t>
      </w:r>
    </w:p>
    <w:p>
      <w:pPr>
        <w:pBdr>
          <w:bottom w:val="single" w:color="F7941D" w:sz="24" w:space="1"/>
        </w:pBdr>
        <w:shd w:fill="1B2B4B" w:val="clear"/>
        <w:spacing w:after="600"/>
        <w:jc w:val="left"/>
      </w:pPr>
      <w:r>
        <w:rPr>
          <w:sz w:val="4"/>
          <w:szCs w:val="4"/>
          <w:rFonts w:ascii="Arial" w:cs="Arial" w:eastAsia="Arial" w:hAnsi="Arial"/>
        </w:rPr>
      </w:r>
    </w:p>
    <w:p>
      <w:pPr>
        <w:spacing w:before="200" w:after="400"/>
        <w:jc w:val="left"/>
      </w:pPr>
      <w:r>
        <w:rPr>
          <w:b/>
          <w:bCs/>
          <w:color w:val="1B2B4B"/>
          <w:sz w:val="56"/>
          <w:szCs w:val="56"/>
          <w:rFonts w:ascii="Arial" w:cs="Arial" w:eastAsia="Arial" w:hAnsi="Arial"/>
        </w:rPr>
        <w:t xml:space="preserve">Mappa del Percorso Legislativo: Estensione del Periodo di Ripristino Brevettuale Farmaceutico da 5 a 7 Anni</w:t>
      </w:r>
    </w:p>
    <w:p>
      <w:pPr>
        <w:pBdr>
          <w:bottom w:val="single" w:color="F7941D" w:sz="8" w:space="2"/>
        </w:pBdr>
        <w:spacing w:after="200"/>
        <w:jc w:val="left"/>
      </w:pPr>
      <w:r>
        <w:rPr>
          <w:sz w:val="22"/>
          <w:szCs w:val="22"/>
          <w:rFonts w:ascii="Arial" w:cs="Arial" w:eastAsia="Arial" w:hAnsi="Arial"/>
        </w:rPr>
      </w:r>
    </w:p>
    <w:p>
      <w:pPr>
        <w:spacing w:after="100" w:line="240"/>
        <w:jc w:val="left"/>
      </w:pPr>
      <w:r>
        <w:rPr>
          <w:sz w:val="22"/>
          <w:szCs w:val="22"/>
          <w:rFonts w:ascii="Arial" w:cs="Arial" w:eastAsia="Arial" w:hAnsi="Arial"/>
        </w:rPr>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80"/>
            </w:tcMar>
          </w:tcPr>
          <w:p>
            <w:pPr>
              <w:spacing w:after="60" w:line="240"/>
              <w:jc w:val="left"/>
            </w:pPr>
            <w:r>
              <w:rPr>
                <w:b/>
                <w:bCs/>
                <w:sz w:val="20"/>
                <w:szCs w:val="20"/>
                <w:rFonts w:ascii="Arial" w:cs="Arial" w:eastAsia="Arial" w:hAnsi="Arial"/>
              </w:rPr>
              <w:t xml:space="preserve">Date,April 2026:</w:t>
            </w:r>
          </w:p>
        </w:tc>
        <w:tc>
          <w:tcPr>
            <w:tcW w:type="dxa" w:w="38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60" w:line="240"/>
              <w:jc w:val="left"/>
            </w:pPr>
            <w:r>
              <w:rPr>
                <w:sz w:val="20"/>
                <w:szCs w:val="20"/>
                <w:rFonts w:ascii="Arial" w:cs="Arial" w:eastAsia="Arial" w:hAnsi="Arial"/>
              </w:rPr>
            </w:r>
          </w:p>
        </w:tc>
      </w:tr>
    </w:tbl>
    <w:p>
      <w:pPr>
        <w:spacing w:after="200" w:line="240"/>
        <w:jc w:val="left"/>
      </w:pPr>
      <w:r>
        <w:rPr>
          <w:sz w:val="22"/>
          <w:szCs w:val="22"/>
          <w:rFonts w:ascii="Arial" w:cs="Arial" w:eastAsia="Arial" w:hAnsi="Arial"/>
        </w:rPr>
      </w:r>
    </w:p>
    <w:p>
      <w:pPr>
        <w:jc w:val="left"/>
      </w:pPr>
      <w:r>
        <w:br w:type="page"/>
      </w:r>
    </w:p>
    <w:p>
      <w:pPr>
        <w:sectPr>
          <w:pgSz w:w="11906" w:h="16838" w:orient="portrait"/>
          <w:pgMar w:top="1080" w:right="1080" w:bottom="1080" w:left="1080" w:header="708" w:footer="708" w:gutter="0"/>
          <w:pgNumType/>
          <w:docGrid w:linePitch="360"/>
        </w:sectPr>
      </w:pPr>
    </w:p>
    <w:p>
      <w:pPr>
        <w:pBdr>
          <w:bottom w:val="single" w:color="D0D0D0" w:sz="4" w:space="2"/>
        </w:pBdr>
        <w:spacing w:after="100"/>
        <w:jc w:val="left"/>
      </w:pPr>
      <w:r>
        <w:rPr>
          <w:sz w:val="22"/>
          <w:szCs w:val="22"/>
          <w:rFonts w:ascii="Arial" w:cs="Arial" w:eastAsia="Arial" w:hAnsi="Arial"/>
        </w:rPr>
      </w:r>
    </w:p>
    <w:p>
      <w:pPr>
        <w:spacing w:after="60" w:line="240"/>
        <w:jc w:val="left"/>
      </w:pPr>
      <w:r>
        <w:rPr>
          <w:sz w:val="22"/>
          <w:szCs w:val="22"/>
          <w:rFonts w:ascii="Arial" w:cs="Arial" w:eastAsia="Arial" w:hAnsi="Arial"/>
        </w:rP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D0D0D0" w:sz="4"/>
              <w:left w:val="single" w:color="D0D0D0" w:sz="4"/>
              <w:bottom w:val="single" w:color="D0D0D0" w:sz="4"/>
              <w:right w:val="single" w:color="D0D0D0" w:sz="4"/>
            </w:tcBorders>
            <w:shd w:fill="1B2B4B" w:val="clear"/>
            <w:tcMar>
              <w:top w:type="dxa" w:w="100"/>
              <w:left w:type="dxa" w:w="180"/>
              <w:bottom w:type="dxa" w:w="100"/>
              <w:right w:type="dxa" w:w="180"/>
            </w:tcMar>
          </w:tcPr>
          <w:p>
            <w:pPr>
              <w:spacing w:after="0" w:line="240"/>
              <w:jc w:val="left"/>
            </w:pPr>
            <w:r>
              <w:rPr>
                <w:b/>
                <w:bCs/>
                <w:color w:val="FFFFFF"/>
                <w:sz w:val="24"/>
                <w:szCs w:val="24"/>
                <w:rFonts w:ascii="Arial" w:cs="Arial" w:eastAsia="Arial" w:hAnsi="Arial"/>
              </w:rPr>
              <w:t xml:space="preserve">Mappa del Percorso Legislativo: Estensione del Periodo di Ripristino Brevettuale Farmaceutico da 5 a 7 Anni</w:t>
            </w:r>
          </w:p>
        </w:tc>
      </w:tr>
    </w:tbl>
    <w:p>
      <w:pPr>
        <w:spacing w:after="80" w:line="240"/>
        <w:jc w:val="left"/>
      </w:pPr>
      <w:r>
        <w:rPr>
          <w:sz w:val="22"/>
          <w:szCs w:val="22"/>
          <w:rFonts w:ascii="Arial" w:cs="Arial" w:eastAsia="Arial" w:hAnsi="Arial"/>
        </w:rPr>
      </w:r>
    </w:p>
    <w:p>
      <w:pPr>
        <w:spacing w:after="140" w:line="276"/>
        <w:jc w:val="left"/>
      </w:pPr>
      <w:r>
        <w:rPr>
          <w:b/>
          <w:bCs/>
          <w:sz w:val="22"/>
          <w:szCs w:val="22"/>
          <w:rFonts w:ascii="Arial" w:cs="Arial" w:eastAsia="Arial" w:hAnsi="Arial"/>
        </w:rPr>
        <w:t xml:space="preserve">Giurisdizione:</w:t>
      </w:r>
      <w:r>
        <w:rPr>
          <w:sz w:val="22"/>
          <w:szCs w:val="22"/>
          <w:rFonts w:ascii="Arial" w:cs="Arial" w:eastAsia="Arial" w:hAnsi="Arial"/>
        </w:rPr>
        <w:t xml:space="preserve"> Italia | </w:t>
      </w:r>
      <w:r>
        <w:rPr>
          <w:b/>
          <w:bCs/>
          <w:sz w:val="22"/>
          <w:szCs w:val="22"/>
          <w:rFonts w:ascii="Arial" w:cs="Arial" w:eastAsia="Arial" w:hAnsi="Arial"/>
        </w:rPr>
        <w:t xml:space="preserve">Data:</w:t>
      </w:r>
      <w:r>
        <w:rPr>
          <w:sz w:val="22"/>
          <w:szCs w:val="22"/>
          <w:rFonts w:ascii="Arial" w:cs="Arial" w:eastAsia="Arial" w:hAnsi="Arial"/>
        </w:rPr>
        <w:t xml:space="preserve"> Aprile 2026</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 Sommario dell'Obiettivo</w:t>
      </w:r>
    </w:p>
    <w:p>
      <w:pPr>
        <w:spacing w:after="140" w:line="276"/>
        <w:jc w:val="left"/>
      </w:pPr>
      <w:r>
        <w:rPr>
          <w:sz w:val="22"/>
          <w:szCs w:val="22"/>
          <w:rFonts w:ascii="Arial" w:cs="Arial" w:eastAsia="Arial" w:hAnsi="Arial"/>
        </w:rPr>
        <w:t xml:space="preserve">L'obiettivo è modificare il D.Lgs. 10 febbraio 2005, n. 30 (Codice della Proprietà Industriale — CPI) per introdurre un meccanismo di ripristino del termine brevettuale (</w:t>
      </w:r>
      <w:r>
        <w:rPr>
          <w:i/>
          <w:iCs/>
          <w:sz w:val="22"/>
          <w:szCs w:val="22"/>
          <w:rFonts w:ascii="Arial" w:cs="Arial" w:eastAsia="Arial" w:hAnsi="Arial"/>
        </w:rPr>
        <w:t xml:space="preserve">patent term restoration</w:t>
      </w:r>
      <w:r>
        <w:rPr>
          <w:sz w:val="22"/>
          <w:szCs w:val="22"/>
          <w:rFonts w:ascii="Arial" w:cs="Arial" w:eastAsia="Arial" w:hAnsi="Arial"/>
        </w:rPr>
        <w:t xml:space="preserve">) specificamente calibrato sui ritardi regolatori dell'AIFA superiori a 24 mesi nel procedimento di autorizzazione all'immissione in commercio (AIC), portando il periodo massimo di protezione complementare dagli attuali 5 anni a 7 anni, in allineamento con il modello statunitense Hatch-Waxman Act. Il cambiamento normativo richiede una modifica legislativa primaria del CPI (in particolare degli artt. 60–61) e, con tutta probabilità, una previsione di compatibilità con il Regolamento (CE) n. 469/2009 sul Certificato Protettivo Complementare (CPC/SPC), che fissa attualmente il tetto massimo a 5 anni a livello europeo — questo vincolo di diritto UE rappresenta il nodo tecnico-giuridico più critico dell'intera strategia. Il decisore primario è il Ministro delle Imprese e del Made in Italy (MIMIT), </w:t>
      </w:r>
      <w:r>
        <w:rPr>
          <w:b/>
          <w:bCs/>
          <w:sz w:val="22"/>
          <w:szCs w:val="22"/>
          <w:rFonts w:ascii="Arial" w:cs="Arial" w:eastAsia="Arial" w:hAnsi="Arial"/>
        </w:rPr>
        <w:t xml:space="preserve">Adolfo Urso</w:t>
      </w:r>
      <w:r>
        <w:rPr>
          <w:sz w:val="22"/>
          <w:szCs w:val="22"/>
          <w:rFonts w:ascii="Arial" w:cs="Arial" w:eastAsia="Arial" w:hAnsi="Arial"/>
        </w:rPr>
        <w:t xml:space="preserve">, coadiuvato dal Ministro della Salute (per il profilo AIFA) e dal Ministro dell'Economia (per l'impatto fiscale).</w:t>
      </w:r>
    </w:p>
    <w:p>
      <w:pPr>
        <w:spacing w:after="140" w:line="276"/>
        <w:jc w:val="left"/>
      </w:pPr>
      <w:r>
        <w:rPr>
          <w:sz w:val="22"/>
          <w:szCs w:val="22"/>
          <w:rFonts w:ascii="Arial" w:cs="Arial" w:eastAsia="Arial" w:hAnsi="Arial"/>
        </w:rPr>
        <w:t xml:space="preserve">&gt; ⚠️ </w:t>
      </w:r>
      <w:r>
        <w:rPr>
          <w:b/>
          <w:bCs/>
          <w:sz w:val="22"/>
          <w:szCs w:val="22"/>
          <w:rFonts w:ascii="Arial" w:cs="Arial" w:eastAsia="Arial" w:hAnsi="Arial"/>
        </w:rPr>
        <w:t xml:space="preserve">Avviso strategico cruciale prima di procedere:</w:t>
      </w:r>
      <w:r>
        <w:rPr>
          <w:sz w:val="22"/>
          <w:szCs w:val="22"/>
          <w:rFonts w:ascii="Arial" w:cs="Arial" w:eastAsia="Arial" w:hAnsi="Arial"/>
        </w:rPr>
        <w:t xml:space="preserve"> Il Regolamento (CE) n. 469/2009, direttamente applicabile in Italia, stabilisce che i certificati complementari di protezione estendono fino a </w:t>
      </w:r>
      <w:r>
        <w:rPr>
          <w:b/>
          <w:bCs/>
          <w:sz w:val="22"/>
          <w:szCs w:val="22"/>
          <w:rFonts w:ascii="Arial" w:cs="Arial" w:eastAsia="Arial" w:hAnsi="Arial"/>
        </w:rPr>
        <w:t xml:space="preserve">5 anni</w:t>
      </w:r>
      <w:r>
        <w:rPr>
          <w:sz w:val="22"/>
          <w:szCs w:val="22"/>
          <w:rFonts w:ascii="Arial" w:cs="Arial" w:eastAsia="Arial" w:hAnsi="Arial"/>
        </w:rPr>
        <w:t xml:space="preserve"> la durata dei corrispondenti brevetti per i medicinali al fine di compensare il titolare della minore tutela nel periodo in cui si svolge la procedura autorizzativa obbligatoria per l'immissione in commercio. Una modifica nazionale unilaterale che porti il massimo a 7 anni si scontrerebbe con questo tetto europeo, poiché un certificato di protezione complementare unitario può essere creato solo dall'UE, e l'adozione di misure a livello nazionale non garantirebbe la coerenza del quadro giuridico a livello unionale. La strategia raccomandata è pertanto </w:t>
      </w:r>
      <w:r>
        <w:rPr>
          <w:b/>
          <w:bCs/>
          <w:sz w:val="22"/>
          <w:szCs w:val="22"/>
          <w:rFonts w:ascii="Arial" w:cs="Arial" w:eastAsia="Arial" w:hAnsi="Arial"/>
        </w:rPr>
        <w:t xml:space="preserve">duale</w:t>
      </w:r>
      <w:r>
        <w:rPr>
          <w:sz w:val="22"/>
          <w:szCs w:val="22"/>
          <w:rFonts w:ascii="Arial" w:cs="Arial" w:eastAsia="Arial" w:hAnsi="Arial"/>
        </w:rPr>
        <w:t xml:space="preserve">: perseguire parallelamente una modifica del CPI per la componente domestica (ritardi AIFA-specifici) e un'azione di advocacy a livello europeo per la revisione del Regolamento 469/2009. Le due linee si supportano reciprocamente.</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 Percorsi Disponibili</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30"/>
      </w:tblGrid>
      <w:tr>
        <w:trPr>
          <w:tblHeader/>
        </w:trPr>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Percorso</w:t>
            </w:r>
          </w:p>
        </w:tc>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Descrizione</w:t>
            </w:r>
          </w:p>
        </w:tc>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Fattibilità</w:t>
            </w:r>
          </w:p>
        </w:tc>
        <w:tc>
          <w:tcPr>
            <w:tcW w:type="dxa" w:w="1927"/>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Durata Stimata</w:t>
            </w:r>
          </w:p>
        </w:tc>
        <w:tc>
          <w:tcPr>
            <w:tcW w:type="dxa" w:w="1930"/>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Rischio</w:t>
            </w:r>
          </w:p>
        </w:tc>
      </w:tr>
      <w:tr>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A. DDL governativo (via MIMIT)</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Disegno di legge delega al governo per modificare il CPI, con componente "ritardi AIFA" e clausola di raccordo UE</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 Raccomandato</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18–30 mesi</w:t>
            </w:r>
          </w:p>
        </w:tc>
        <w:tc>
          <w:tcPr>
            <w:tcW w:type="dxa" w:w="1930"/>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Medio — vincolo UE richiede gestione tecnica</w:t>
            </w:r>
          </w:p>
        </w:tc>
      </w:tr>
      <w:tr>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B. Emendamento alla Legge di Bilancio</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Inserimento come norma "omnibus" nella legge di bilancio annuale</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 Possibile</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6–12 mesi</w:t>
            </w:r>
          </w:p>
        </w:tc>
        <w:tc>
          <w:tcPr>
            <w:tcW w:type="dxa" w:w="1930"/>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Alto — soggetto a stralcio per estraneità di materia; copertura finanziaria obbligatoria</w:t>
            </w:r>
          </w:p>
        </w:tc>
      </w:tr>
      <w:tr>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C. PDL parlamentare</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Proposta di legge a firma di deputati/senatori, senza iniziativa governativa</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 Possibile</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24–48 mesi</w:t>
            </w:r>
          </w:p>
        </w:tc>
        <w:tc>
          <w:tcPr>
            <w:tcW w:type="dxa" w:w="1930"/>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Alto — rallentamento in commissione; dipendenza da calendarizzazione</w:t>
            </w:r>
          </w:p>
        </w:tc>
      </w:tr>
      <w:tr>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D. Decreto legislativo su delega esistente</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Utilizzo di una delega legislativa già in vigore per modificare il CPI per via regolamentare</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 Non adatto</w:t>
            </w:r>
          </w:p>
        </w:tc>
        <w:tc>
          <w:tcPr>
            <w:tcW w:type="dxa" w:w="1927"/>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w:t>
            </w:r>
          </w:p>
        </w:tc>
        <w:tc>
          <w:tcPr>
            <w:tcW w:type="dxa" w:w="1930"/>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Molto alto — nessuna delega attiva pertinente post-L. 102/2023</w:t>
            </w:r>
          </w:p>
        </w:tc>
      </w:tr>
      <w:tr>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E. Advocacy europea (revisione Reg. 469/2009)</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Partecipazione al processo di revisione del regolamento SPC in sede UE, come percorso parallelo e necessario</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 Raccomandato (complementare)</w:t>
            </w:r>
          </w:p>
        </w:tc>
        <w:tc>
          <w:tcPr>
            <w:tcW w:type="dxa" w:w="1927"/>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24–48 mesi</w:t>
            </w:r>
          </w:p>
        </w:tc>
        <w:tc>
          <w:tcPr>
            <w:tcW w:type="dxa" w:w="1930"/>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Medio — iter UE lungo ma aperto; PE ha già avviato la riforma farmaceutica</w:t>
            </w:r>
          </w:p>
        </w:tc>
      </w:tr>
    </w:tbl>
    <w:p>
      <w:pPr>
        <w:spacing w:after="80" w:line="240"/>
        <w:jc w:val="left"/>
      </w:pPr>
      <w:r>
        <w:rPr>
          <w:sz w:val="22"/>
          <w:szCs w:val="22"/>
          <w:rFonts w:ascii="Arial" w:cs="Arial" w:eastAsia="Arial" w:hAnsi="Arial"/>
        </w:rPr>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 Percorso Raccomandato: DDL Governativo (MIMIT) con doppia componente nazionale/UE</w:t>
      </w:r>
    </w:p>
    <w:p>
      <w:pPr>
        <w:spacing w:after="140" w:line="276"/>
        <w:jc w:val="left"/>
      </w:pPr>
      <w:r>
        <w:rPr>
          <w:sz w:val="22"/>
          <w:szCs w:val="22"/>
          <w:rFonts w:ascii="Arial" w:cs="Arial" w:eastAsia="Arial" w:hAnsi="Arial"/>
        </w:rPr>
        <w:t xml:space="preserve">Il percorso principale è un </w:t>
      </w:r>
      <w:r>
        <w:rPr>
          <w:b/>
          <w:bCs/>
          <w:sz w:val="22"/>
          <w:szCs w:val="22"/>
          <w:rFonts w:ascii="Arial" w:cs="Arial" w:eastAsia="Arial" w:hAnsi="Arial"/>
        </w:rPr>
        <w:t xml:space="preserve">disegno di legge di iniziativa governativa</w:t>
      </w:r>
      <w:r>
        <w:rPr>
          <w:sz w:val="22"/>
          <w:szCs w:val="22"/>
          <w:rFonts w:ascii="Arial" w:cs="Arial" w:eastAsia="Arial" w:hAnsi="Arial"/>
        </w:rPr>
        <w:t xml:space="preserve"> presentato dal MIMIT, che modifichi il CPI introducendo un meccanismo di </w:t>
      </w:r>
      <w:r>
        <w:rPr>
          <w:i/>
          <w:iCs/>
          <w:sz w:val="22"/>
          <w:szCs w:val="22"/>
          <w:rFonts w:ascii="Arial" w:cs="Arial" w:eastAsia="Arial" w:hAnsi="Arial"/>
        </w:rPr>
        <w:t xml:space="preserve">patent term restoration</w:t>
      </w:r>
      <w:r>
        <w:rPr>
          <w:sz w:val="22"/>
          <w:szCs w:val="22"/>
          <w:rFonts w:ascii="Arial" w:cs="Arial" w:eastAsia="Arial" w:hAnsi="Arial"/>
        </w:rPr>
        <w:t xml:space="preserve"> per ritardi documentati di AIFA superiori a 24 mesi, strutturato come:</w:t>
      </w:r>
    </w:p>
    <w:p>
      <w:pPr>
        <w:pStyle w:val="ListParagraph"/>
        <w:numPr>
          <w:ilvl w:val="0"/>
          <w:numId w:val="2"/>
        </w:numPr>
        <w:spacing w:after="100" w:line="276"/>
        <w:ind w:left="720" w:hanging="360"/>
        <w:jc w:val="left"/>
      </w:pPr>
      <w:r>
        <w:rPr>
          <w:b/>
          <w:bCs/>
          <w:sz w:val="22"/>
          <w:szCs w:val="22"/>
          <w:rFonts w:ascii="Arial" w:cs="Arial" w:eastAsia="Arial" w:hAnsi="Arial"/>
        </w:rPr>
        <w:t xml:space="preserve">Componente A (immediata):</w:t>
      </w:r>
      <w:r>
        <w:rPr>
          <w:sz w:val="22"/>
          <w:szCs w:val="22"/>
          <w:rFonts w:ascii="Arial" w:cs="Arial" w:eastAsia="Arial" w:hAnsi="Arial"/>
        </w:rPr>
        <w:t xml:space="preserve"> Modifica degli artt. 60–61 CPI per prevedere, in aggiunta al CPC/SPC europeo, un meccanismo nazionale supplementare di proroga per il periodo di ritardo AIFA eccedente i 24 mesi, configurato come diritto separato dal SPC e tecnicamente distinto da esso (per evitare la collisione diretta con il Reg. 469/2009).</w:t>
      </w:r>
    </w:p>
    <w:p>
      <w:pPr>
        <w:pStyle w:val="ListParagraph"/>
        <w:numPr>
          <w:ilvl w:val="0"/>
          <w:numId w:val="2"/>
        </w:numPr>
        <w:spacing w:after="100" w:line="276"/>
        <w:ind w:left="720" w:hanging="360"/>
        <w:jc w:val="left"/>
      </w:pPr>
      <w:r>
        <w:rPr>
          <w:b/>
          <w:bCs/>
          <w:sz w:val="22"/>
          <w:szCs w:val="22"/>
          <w:rFonts w:ascii="Arial" w:cs="Arial" w:eastAsia="Arial" w:hAnsi="Arial"/>
        </w:rPr>
        <w:t xml:space="preserve">Componente B (parallela):</w:t>
      </w:r>
      <w:r>
        <w:rPr>
          <w:sz w:val="22"/>
          <w:szCs w:val="22"/>
          <w:rFonts w:ascii="Arial" w:cs="Arial" w:eastAsia="Arial" w:hAnsi="Arial"/>
        </w:rPr>
        <w:t xml:space="preserve"> Attivazione del coordinamento con il MIMIT e il MEF per presentare una posizione italiana formale in sede di Consiglio UE nella prossima revisione del Reg. 469/2009, chiedendo il tetto di 7 anni.</w:t>
      </w:r>
    </w:p>
    <w:p>
      <w:pPr>
        <w:pBdr>
          <w:bottom w:val="single" w:color="D0D0D0" w:sz="4" w:space="2"/>
        </w:pBdr>
        <w:spacing w:after="10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Fase 1: Costruzione del Dossier Tecnico-Giuridico e della Coalizione</w:t>
      </w:r>
    </w:p>
    <w:p>
      <w:pPr>
        <w:pStyle w:val="ListParagraph"/>
        <w:numPr>
          <w:ilvl w:val="0"/>
          <w:numId w:val="3"/>
        </w:numPr>
        <w:spacing w:after="100" w:line="276"/>
        <w:ind w:left="720" w:hanging="360"/>
        <w:jc w:val="left"/>
      </w:pPr>
      <w:r>
        <w:rPr>
          <w:b/>
          <w:bCs/>
          <w:sz w:val="22"/>
          <w:szCs w:val="22"/>
          <w:rFonts w:ascii="Arial" w:cs="Arial" w:eastAsia="Arial" w:hAnsi="Arial"/>
        </w:rPr>
        <w:t xml:space="preserve">Attore principale:</w:t>
      </w:r>
      <w:r>
        <w:rPr>
          <w:sz w:val="22"/>
          <w:szCs w:val="22"/>
          <w:rFonts w:ascii="Arial" w:cs="Arial" w:eastAsia="Arial" w:hAnsi="Arial"/>
        </w:rPr>
        <w:t xml:space="preserve"> Farmindustria (Presidente Marcello Cattani) + UIBM/MIMIT (Sen. Adolfo Urso)</w:t>
      </w:r>
    </w:p>
    <w:p>
      <w:pPr>
        <w:pStyle w:val="ListParagraph"/>
        <w:numPr>
          <w:ilvl w:val="0"/>
          <w:numId w:val="3"/>
        </w:numPr>
        <w:spacing w:after="100" w:line="276"/>
        <w:ind w:left="720" w:hanging="360"/>
        <w:jc w:val="left"/>
      </w:pPr>
      <w:r>
        <w:rPr>
          <w:b/>
          <w:bCs/>
          <w:sz w:val="22"/>
          <w:szCs w:val="22"/>
          <w:rFonts w:ascii="Arial" w:cs="Arial" w:eastAsia="Arial" w:hAnsi="Arial"/>
        </w:rPr>
        <w:t xml:space="preserve">Cosa è richiesto:</w:t>
      </w:r>
      <w:r>
        <w:rPr>
          <w:sz w:val="22"/>
          <w:szCs w:val="22"/>
          <w:rFonts w:ascii="Arial" w:cs="Arial" w:eastAsia="Arial" w:hAnsi="Arial"/>
        </w:rPr>
        <w:t xml:space="preserve"> Commissioning di una valutazione tecnica che quantifichi: (a) il numero di AIC con ritardi AIFA &gt; 24 mesi negli ultimi 10 anni; (b) il confronto con i tempi medi EMA; (c) la perdita economica per l'innovatore; (d) la compatibilità giuridica con il Reg. 469/2009. Il dossier deve includere la Valutazione di Impatto della Regolazione (VIR) ai sensi del D.P.C.M. 15 settembre 2017.</w:t>
      </w:r>
    </w:p>
    <w:p>
      <w:pPr>
        <w:pStyle w:val="ListParagraph"/>
        <w:numPr>
          <w:ilvl w:val="0"/>
          <w:numId w:val="3"/>
        </w:numPr>
        <w:spacing w:after="100" w:line="276"/>
        <w:ind w:left="720" w:hanging="360"/>
        <w:jc w:val="left"/>
      </w:pPr>
      <w:r>
        <w:rPr>
          <w:b/>
          <w:bCs/>
          <w:sz w:val="22"/>
          <w:szCs w:val="22"/>
          <w:rFonts w:ascii="Arial" w:cs="Arial" w:eastAsia="Arial" w:hAnsi="Arial"/>
        </w:rPr>
        <w:t xml:space="preserve">Tempistica:</w:t>
      </w:r>
      <w:r>
        <w:rPr>
          <w:sz w:val="22"/>
          <w:szCs w:val="22"/>
          <w:rFonts w:ascii="Arial" w:cs="Arial" w:eastAsia="Arial" w:hAnsi="Arial"/>
        </w:rPr>
        <w:t xml:space="preserve"> 3–4 mesi (maggio–agosto 2026)</w:t>
      </w:r>
    </w:p>
    <w:p>
      <w:pPr>
        <w:pStyle w:val="ListParagraph"/>
        <w:numPr>
          <w:ilvl w:val="0"/>
          <w:numId w:val="3"/>
        </w:numPr>
        <w:spacing w:after="100" w:line="276"/>
        <w:ind w:left="720" w:hanging="360"/>
        <w:jc w:val="left"/>
      </w:pPr>
      <w:r>
        <w:rPr>
          <w:b/>
          <w:bCs/>
          <w:sz w:val="22"/>
          <w:szCs w:val="22"/>
          <w:rFonts w:ascii="Arial" w:cs="Arial" w:eastAsia="Arial" w:hAnsi="Arial"/>
        </w:rPr>
        <w:t xml:space="preserve">Documento chiave:</w:t>
      </w:r>
      <w:r>
        <w:rPr>
          <w:sz w:val="22"/>
          <w:szCs w:val="22"/>
          <w:rFonts w:ascii="Arial" w:cs="Arial" w:eastAsia="Arial" w:hAnsi="Arial"/>
        </w:rPr>
        <w:t xml:space="preserve"> Position paper tecnico-giuridico (6–8 pagine, struttura numerata), corredato da dataset AIFA sui tempi medi di istruttoria AIC; analisi comparativa con l'Hatch-Waxman Act (35 U.S.C. §§ 156) e con il Reg. 469/2009, art. 13.</w:t>
      </w:r>
    </w:p>
    <w:p>
      <w:pPr>
        <w:pStyle w:val="ListParagraph"/>
        <w:numPr>
          <w:ilvl w:val="0"/>
          <w:numId w:val="3"/>
        </w:numPr>
        <w:spacing w:after="100" w:line="276"/>
        <w:ind w:left="720" w:hanging="360"/>
        <w:jc w:val="left"/>
      </w:pPr>
      <w:r>
        <w:rPr>
          <w:b/>
          <w:bCs/>
          <w:sz w:val="22"/>
          <w:szCs w:val="22"/>
          <w:rFonts w:ascii="Arial" w:cs="Arial" w:eastAsia="Arial" w:hAnsi="Arial"/>
        </w:rPr>
        <w:t xml:space="preserve">Punto di ingresso:</w:t>
      </w:r>
      <w:r>
        <w:rPr>
          <w:sz w:val="22"/>
          <w:szCs w:val="22"/>
          <w:rFonts w:ascii="Arial" w:cs="Arial" w:eastAsia="Arial" w:hAnsi="Arial"/>
        </w:rPr>
        <w:t xml:space="preserve"> Tavolo tecnico MIMIT–Farmindustria–AIFA (già attivo in via informale per il "Libro Bianco Made in Italy 2030" promosso da Urso). Il MIMIT ha riconosciuto l'economia della salute come settore capace di affiancare le tradizionali "5A" del Made in Italy, con il Ministro Urso che ha dichiarato che l'industria farmaceutica è un "asset prioritario del Made in Italy".</w:t>
      </w:r>
    </w:p>
    <w:p>
      <w:pPr>
        <w:pStyle w:val="ListParagraph"/>
        <w:numPr>
          <w:ilvl w:val="0"/>
          <w:numId w:val="3"/>
        </w:numPr>
        <w:spacing w:after="100" w:line="276"/>
        <w:ind w:left="720" w:hanging="360"/>
        <w:jc w:val="left"/>
      </w:pPr>
      <w:r>
        <w:rPr>
          <w:b/>
          <w:bCs/>
          <w:sz w:val="22"/>
          <w:szCs w:val="22"/>
          <w:rFonts w:ascii="Arial" w:cs="Arial" w:eastAsia="Arial" w:hAnsi="Arial"/>
        </w:rPr>
        <w:t xml:space="preserve">Note politiche:</w:t>
      </w:r>
      <w:r>
        <w:rPr>
          <w:sz w:val="22"/>
          <w:szCs w:val="22"/>
          <w:rFonts w:ascii="Arial" w:cs="Arial" w:eastAsia="Arial" w:hAnsi="Arial"/>
        </w:rPr>
        <w:t xml:space="preserve"> Il Ministro Urso ha già dichiarato pubblicamente, in un evento Farmindustria, che "serve una chiara politica europea orientata all'innovazione, alla ricerca e allo sviluppo industriale, che consenta alle imprese del continente di competere ad armi pari con quelle americane e cinesi" — formula perfettamente congruente con l'argomentazione a sostegno del prolungamento a 7 anni. Questo va capitalizzato come endorsement implicito nella fase di advocacy.</w:t>
      </w:r>
    </w:p>
    <w:p>
      <w:pPr>
        <w:pBdr>
          <w:bottom w:val="single" w:color="D0D0D0" w:sz="4" w:space="2"/>
        </w:pBdr>
        <w:spacing w:after="10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Fase 2: Consultazione Informale Inter-Ministeriale</w:t>
      </w:r>
    </w:p>
    <w:p>
      <w:pPr>
        <w:pStyle w:val="ListParagraph"/>
        <w:numPr>
          <w:ilvl w:val="0"/>
          <w:numId w:val="3"/>
        </w:numPr>
        <w:spacing w:after="100" w:line="276"/>
        <w:ind w:left="720" w:hanging="360"/>
        <w:jc w:val="left"/>
      </w:pPr>
      <w:r>
        <w:rPr>
          <w:b/>
          <w:bCs/>
          <w:sz w:val="22"/>
          <w:szCs w:val="22"/>
          <w:rFonts w:ascii="Arial" w:cs="Arial" w:eastAsia="Arial" w:hAnsi="Arial"/>
        </w:rPr>
        <w:t xml:space="preserve">Attore principale:</w:t>
      </w:r>
      <w:r>
        <w:rPr>
          <w:sz w:val="22"/>
          <w:szCs w:val="22"/>
          <w:rFonts w:ascii="Arial" w:cs="Arial" w:eastAsia="Arial" w:hAnsi="Arial"/>
        </w:rPr>
        <w:t xml:space="preserve"> MIMIT (Sen. Adolfo Urso) in raccordo con il Ministero della Salute e il MEF (Giancarlo Giorgetti)</w:t>
      </w:r>
    </w:p>
    <w:p>
      <w:pPr>
        <w:pStyle w:val="ListParagraph"/>
        <w:numPr>
          <w:ilvl w:val="0"/>
          <w:numId w:val="3"/>
        </w:numPr>
        <w:spacing w:after="100" w:line="276"/>
        <w:ind w:left="720" w:hanging="360"/>
        <w:jc w:val="left"/>
      </w:pPr>
      <w:r>
        <w:rPr>
          <w:b/>
          <w:bCs/>
          <w:sz w:val="22"/>
          <w:szCs w:val="22"/>
          <w:rFonts w:ascii="Arial" w:cs="Arial" w:eastAsia="Arial" w:hAnsi="Arial"/>
        </w:rPr>
        <w:t xml:space="preserve">Cosa è richiesto:</w:t>
      </w:r>
      <w:r>
        <w:rPr>
          <w:sz w:val="22"/>
          <w:szCs w:val="22"/>
          <w:rFonts w:ascii="Arial" w:cs="Arial" w:eastAsia="Arial" w:hAnsi="Arial"/>
        </w:rPr>
        <w:t xml:space="preserve"> Riunione informale di coordinamento tra MIMIT, MEF e Ministero della Salute per verificare: (a) neutralità fiscale del meccanismo (o stima del costo per il SSN); (b) posizione del MEF sulla copertura finanziaria; (c) allineamento del Ministero della Salute sul profilo AIFA.</w:t>
      </w:r>
    </w:p>
    <w:p>
      <w:pPr>
        <w:pStyle w:val="ListParagraph"/>
        <w:numPr>
          <w:ilvl w:val="0"/>
          <w:numId w:val="3"/>
        </w:numPr>
        <w:spacing w:after="100" w:line="276"/>
        <w:ind w:left="720" w:hanging="360"/>
        <w:jc w:val="left"/>
      </w:pPr>
      <w:r>
        <w:rPr>
          <w:b/>
          <w:bCs/>
          <w:sz w:val="22"/>
          <w:szCs w:val="22"/>
          <w:rFonts w:ascii="Arial" w:cs="Arial" w:eastAsia="Arial" w:hAnsi="Arial"/>
        </w:rPr>
        <w:t xml:space="preserve">Tempistica:</w:t>
      </w:r>
      <w:r>
        <w:rPr>
          <w:sz w:val="22"/>
          <w:szCs w:val="22"/>
          <w:rFonts w:ascii="Arial" w:cs="Arial" w:eastAsia="Arial" w:hAnsi="Arial"/>
        </w:rPr>
        <w:t xml:space="preserve"> 2 mesi (settembre–ottobre 2026)</w:t>
      </w:r>
    </w:p>
    <w:p>
      <w:pPr>
        <w:pStyle w:val="ListParagraph"/>
        <w:numPr>
          <w:ilvl w:val="0"/>
          <w:numId w:val="3"/>
        </w:numPr>
        <w:spacing w:after="100" w:line="276"/>
        <w:ind w:left="720" w:hanging="360"/>
        <w:jc w:val="left"/>
      </w:pPr>
      <w:r>
        <w:rPr>
          <w:b/>
          <w:bCs/>
          <w:sz w:val="22"/>
          <w:szCs w:val="22"/>
          <w:rFonts w:ascii="Arial" w:cs="Arial" w:eastAsia="Arial" w:hAnsi="Arial"/>
        </w:rPr>
        <w:t xml:space="preserve">Documento chiave:</w:t>
      </w:r>
      <w:r>
        <w:rPr>
          <w:sz w:val="22"/>
          <w:szCs w:val="22"/>
          <w:rFonts w:ascii="Arial" w:cs="Arial" w:eastAsia="Arial" w:hAnsi="Arial"/>
        </w:rPr>
        <w:t xml:space="preserve"> Nota tecnica inter-ministeriale; bozza di articolato normativo in modificazione degli artt. 60–61 CPI; relazione tecnico-finanziaria per il MEF.</w:t>
      </w:r>
    </w:p>
    <w:p>
      <w:pPr>
        <w:pStyle w:val="ListParagraph"/>
        <w:numPr>
          <w:ilvl w:val="0"/>
          <w:numId w:val="3"/>
        </w:numPr>
        <w:spacing w:after="100" w:line="276"/>
        <w:ind w:left="720" w:hanging="360"/>
        <w:jc w:val="left"/>
      </w:pPr>
      <w:r>
        <w:rPr>
          <w:b/>
          <w:bCs/>
          <w:sz w:val="22"/>
          <w:szCs w:val="22"/>
          <w:rFonts w:ascii="Arial" w:cs="Arial" w:eastAsia="Arial" w:hAnsi="Arial"/>
        </w:rPr>
        <w:t xml:space="preserve">Punto di ingresso:</w:t>
      </w:r>
      <w:r>
        <w:rPr>
          <w:sz w:val="22"/>
          <w:szCs w:val="22"/>
          <w:rFonts w:ascii="Arial" w:cs="Arial" w:eastAsia="Arial" w:hAnsi="Arial"/>
        </w:rPr>
        <w:t xml:space="preserve"> Ufficio legislativo MIMIT + Ufficio legislativo MEF. Canale diretto: Segreteria tecnica del Ministro Urso.</w:t>
      </w:r>
    </w:p>
    <w:p>
      <w:pPr>
        <w:pStyle w:val="ListParagraph"/>
        <w:numPr>
          <w:ilvl w:val="0"/>
          <w:numId w:val="3"/>
        </w:numPr>
        <w:spacing w:after="100" w:line="276"/>
        <w:ind w:left="720" w:hanging="360"/>
        <w:jc w:val="left"/>
      </w:pPr>
      <w:r>
        <w:rPr>
          <w:b/>
          <w:bCs/>
          <w:sz w:val="22"/>
          <w:szCs w:val="22"/>
          <w:rFonts w:ascii="Arial" w:cs="Arial" w:eastAsia="Arial" w:hAnsi="Arial"/>
        </w:rPr>
        <w:t xml:space="preserve">Note politiche:</w:t>
      </w:r>
      <w:r>
        <w:rPr>
          <w:sz w:val="22"/>
          <w:szCs w:val="22"/>
          <w:rFonts w:ascii="Arial" w:cs="Arial" w:eastAsia="Arial" w:hAnsi="Arial"/>
        </w:rPr>
        <w:t xml:space="preserve"> Il MEF (Giorgetti) è il principale gatekeeping fiscale: qualsiasi proroga brevettuale che ritardi l'entrata dei generici sul mercato avrà impatto sulla spesa farmaceutica pubblica. L'argomento da utilizzare con il MEF è che il meccanismo si attiva </w:t>
      </w:r>
      <w:r>
        <w:rPr>
          <w:i/>
          <w:iCs/>
          <w:sz w:val="22"/>
          <w:szCs w:val="22"/>
          <w:rFonts w:ascii="Arial" w:cs="Arial" w:eastAsia="Arial" w:hAnsi="Arial"/>
        </w:rPr>
        <w:t xml:space="preserve">solo</w:t>
      </w:r>
      <w:r>
        <w:rPr>
          <w:sz w:val="22"/>
          <w:szCs w:val="22"/>
          <w:rFonts w:ascii="Arial" w:cs="Arial" w:eastAsia="Arial" w:hAnsi="Arial"/>
        </w:rPr>
        <w:t xml:space="preserve"> in caso di ritardo documentato di AIFA, quindi è autofinanziato dalla riduzione dell'inefficienza regolatoria, non da una scelta politica discrezionale di estensione generale.</w:t>
      </w:r>
    </w:p>
    <w:p>
      <w:pPr>
        <w:pBdr>
          <w:bottom w:val="single" w:color="D0D0D0" w:sz="4" w:space="2"/>
        </w:pBdr>
        <w:spacing w:after="10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Fase 3: Approvazione in Consiglio dei Ministri e Trasmissione al Parlamento</w:t>
      </w:r>
    </w:p>
    <w:p>
      <w:pPr>
        <w:pStyle w:val="ListParagraph"/>
        <w:numPr>
          <w:ilvl w:val="0"/>
          <w:numId w:val="3"/>
        </w:numPr>
        <w:spacing w:after="100" w:line="276"/>
        <w:ind w:left="720" w:hanging="360"/>
        <w:jc w:val="left"/>
      </w:pPr>
      <w:r>
        <w:rPr>
          <w:b/>
          <w:bCs/>
          <w:sz w:val="22"/>
          <w:szCs w:val="22"/>
          <w:rFonts w:ascii="Arial" w:cs="Arial" w:eastAsia="Arial" w:hAnsi="Arial"/>
        </w:rPr>
        <w:t xml:space="preserve">Attore principale:</w:t>
      </w:r>
      <w:r>
        <w:rPr>
          <w:sz w:val="22"/>
          <w:szCs w:val="22"/>
          <w:rFonts w:ascii="Arial" w:cs="Arial" w:eastAsia="Arial" w:hAnsi="Arial"/>
        </w:rPr>
        <w:t xml:space="preserve"> Presidente del Consiglio Giorgia Meloni + Consiglio dei Ministri</w:t>
      </w:r>
    </w:p>
    <w:p>
      <w:pPr>
        <w:pStyle w:val="ListParagraph"/>
        <w:numPr>
          <w:ilvl w:val="0"/>
          <w:numId w:val="3"/>
        </w:numPr>
        <w:spacing w:after="100" w:line="276"/>
        <w:ind w:left="720" w:hanging="360"/>
        <w:jc w:val="left"/>
      </w:pPr>
      <w:r>
        <w:rPr>
          <w:b/>
          <w:bCs/>
          <w:sz w:val="22"/>
          <w:szCs w:val="22"/>
          <w:rFonts w:ascii="Arial" w:cs="Arial" w:eastAsia="Arial" w:hAnsi="Arial"/>
        </w:rPr>
        <w:t xml:space="preserve">Cosa è richiesto:</w:t>
      </w:r>
      <w:r>
        <w:rPr>
          <w:sz w:val="22"/>
          <w:szCs w:val="22"/>
          <w:rFonts w:ascii="Arial" w:cs="Arial" w:eastAsia="Arial" w:hAnsi="Arial"/>
        </w:rPr>
        <w:t xml:space="preserve"> Approvazione del DDL in Consiglio dei Ministri, previa: (a) parere del Consiglio di Stato sulla compatibilità con il diritto UE; (b) relazione AIFA sui dati di ritardo; (c) VIR definitiva.</w:t>
      </w:r>
    </w:p>
    <w:p>
      <w:pPr>
        <w:pStyle w:val="ListParagraph"/>
        <w:numPr>
          <w:ilvl w:val="0"/>
          <w:numId w:val="3"/>
        </w:numPr>
        <w:spacing w:after="100" w:line="276"/>
        <w:ind w:left="720" w:hanging="360"/>
        <w:jc w:val="left"/>
      </w:pPr>
      <w:r>
        <w:rPr>
          <w:b/>
          <w:bCs/>
          <w:sz w:val="22"/>
          <w:szCs w:val="22"/>
          <w:rFonts w:ascii="Arial" w:cs="Arial" w:eastAsia="Arial" w:hAnsi="Arial"/>
        </w:rPr>
        <w:t xml:space="preserve">Tempistica:</w:t>
      </w:r>
      <w:r>
        <w:rPr>
          <w:sz w:val="22"/>
          <w:szCs w:val="22"/>
          <w:rFonts w:ascii="Arial" w:cs="Arial" w:eastAsia="Arial" w:hAnsi="Arial"/>
        </w:rPr>
        <w:t xml:space="preserve"> 1–2 mesi (novembre–dicembre 2026 oppure primo trimestre 2027)</w:t>
      </w:r>
    </w:p>
    <w:p>
      <w:pPr>
        <w:pStyle w:val="ListParagraph"/>
        <w:numPr>
          <w:ilvl w:val="0"/>
          <w:numId w:val="3"/>
        </w:numPr>
        <w:spacing w:after="100" w:line="276"/>
        <w:ind w:left="720" w:hanging="360"/>
        <w:jc w:val="left"/>
      </w:pPr>
      <w:r>
        <w:rPr>
          <w:b/>
          <w:bCs/>
          <w:sz w:val="22"/>
          <w:szCs w:val="22"/>
          <w:rFonts w:ascii="Arial" w:cs="Arial" w:eastAsia="Arial" w:hAnsi="Arial"/>
        </w:rPr>
        <w:t xml:space="preserve">Documento chiave:</w:t>
      </w:r>
      <w:r>
        <w:rPr>
          <w:sz w:val="22"/>
          <w:szCs w:val="22"/>
          <w:rFonts w:ascii="Arial" w:cs="Arial" w:eastAsia="Arial" w:hAnsi="Arial"/>
        </w:rPr>
        <w:t xml:space="preserve"> Testo del DDL con relazione illustrativa, relazione tecnica finanziaria, VIR, parere Consiglio di Stato.</w:t>
      </w:r>
    </w:p>
    <w:p>
      <w:pPr>
        <w:pStyle w:val="ListParagraph"/>
        <w:numPr>
          <w:ilvl w:val="0"/>
          <w:numId w:val="3"/>
        </w:numPr>
        <w:spacing w:after="100" w:line="276"/>
        <w:ind w:left="720" w:hanging="360"/>
        <w:jc w:val="left"/>
      </w:pPr>
      <w:r>
        <w:rPr>
          <w:b/>
          <w:bCs/>
          <w:sz w:val="22"/>
          <w:szCs w:val="22"/>
          <w:rFonts w:ascii="Arial" w:cs="Arial" w:eastAsia="Arial" w:hAnsi="Arial"/>
        </w:rPr>
        <w:t xml:space="preserve">Punto di ingresso:</w:t>
      </w:r>
      <w:r>
        <w:rPr>
          <w:sz w:val="22"/>
          <w:szCs w:val="22"/>
          <w:rFonts w:ascii="Arial" w:cs="Arial" w:eastAsia="Arial" w:hAnsi="Arial"/>
        </w:rPr>
        <w:t xml:space="preserve"> Ufficio del Presidente del Consiglio (DPCM di trasmissione al Parlamento).</w:t>
      </w:r>
    </w:p>
    <w:p>
      <w:pPr>
        <w:pStyle w:val="ListParagraph"/>
        <w:numPr>
          <w:ilvl w:val="0"/>
          <w:numId w:val="3"/>
        </w:numPr>
        <w:spacing w:after="100" w:line="276"/>
        <w:ind w:left="720" w:hanging="360"/>
        <w:jc w:val="left"/>
      </w:pPr>
      <w:r>
        <w:rPr>
          <w:b/>
          <w:bCs/>
          <w:sz w:val="22"/>
          <w:szCs w:val="22"/>
          <w:rFonts w:ascii="Arial" w:cs="Arial" w:eastAsia="Arial" w:hAnsi="Arial"/>
        </w:rPr>
        <w:t xml:space="preserve">Note politiche:</w:t>
      </w:r>
      <w:r>
        <w:rPr>
          <w:sz w:val="22"/>
          <w:szCs w:val="22"/>
          <w:rFonts w:ascii="Arial" w:cs="Arial" w:eastAsia="Arial" w:hAnsi="Arial"/>
        </w:rPr>
        <w:t xml:space="preserve"> La coalizione di governo (FdI–Lega–FI) controlla la maggioranza in entrambe le Camere. Tuttavia, la disciplina di coalizione è fragile su temi tecnici. Farmindustria dovrà lavorare separatamente con i tre partiti della coalizione per evitare dissidenze in commissione.</w:t>
      </w:r>
    </w:p>
    <w:p>
      <w:pPr>
        <w:pBdr>
          <w:bottom w:val="single" w:color="D0D0D0" w:sz="4" w:space="2"/>
        </w:pBdr>
        <w:spacing w:after="10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Fase 4: Iter Parlamentare — Prima Camera (Camera dei Deputati)</w:t>
      </w:r>
    </w:p>
    <w:p>
      <w:pPr>
        <w:pStyle w:val="ListParagraph"/>
        <w:numPr>
          <w:ilvl w:val="0"/>
          <w:numId w:val="3"/>
        </w:numPr>
        <w:spacing w:after="100" w:line="276"/>
        <w:ind w:left="720" w:hanging="360"/>
        <w:jc w:val="left"/>
      </w:pPr>
      <w:r>
        <w:rPr>
          <w:b/>
          <w:bCs/>
          <w:sz w:val="22"/>
          <w:szCs w:val="22"/>
          <w:rFonts w:ascii="Arial" w:cs="Arial" w:eastAsia="Arial" w:hAnsi="Arial"/>
        </w:rPr>
        <w:t xml:space="preserve">Attore principale:</w:t>
      </w:r>
      <w:r>
        <w:rPr>
          <w:sz w:val="22"/>
          <w:szCs w:val="22"/>
          <w:rFonts w:ascii="Arial" w:cs="Arial" w:eastAsia="Arial" w:hAnsi="Arial"/>
        </w:rPr>
        <w:t xml:space="preserve"> XII Commissione Affari Sociali (Camera) + X Commissione Attività Produttive (Camera)</w:t>
      </w:r>
    </w:p>
    <w:p>
      <w:pPr>
        <w:pStyle w:val="ListParagraph"/>
        <w:numPr>
          <w:ilvl w:val="0"/>
          <w:numId w:val="3"/>
        </w:numPr>
        <w:spacing w:after="100" w:line="276"/>
        <w:ind w:left="720" w:hanging="360"/>
        <w:jc w:val="left"/>
      </w:pPr>
      <w:r>
        <w:rPr>
          <w:b/>
          <w:bCs/>
          <w:sz w:val="22"/>
          <w:szCs w:val="22"/>
          <w:rFonts w:ascii="Arial" w:cs="Arial" w:eastAsia="Arial" w:hAnsi="Arial"/>
        </w:rPr>
        <w:t xml:space="preserve">Cosa è richiesto:</w:t>
      </w:r>
      <w:r>
        <w:rPr>
          <w:sz w:val="22"/>
          <w:szCs w:val="22"/>
          <w:rFonts w:ascii="Arial" w:cs="Arial" w:eastAsia="Arial" w:hAnsi="Arial"/>
        </w:rPr>
        <w:t xml:space="preserve"> Il DDL viene assegnato in sede referente alla XII Commissione (salute/farmaceutica) con parere della X Commissione (industria, brevetti). Sono necessarie audizioni dei soggetti interessati (AIFA, Farmindustria, Egualia/generici, UIBM), votazione degli emendamenti in commissione, e successiva votazione in Aula.</w:t>
      </w:r>
    </w:p>
    <w:p>
      <w:pPr>
        <w:pStyle w:val="ListParagraph"/>
        <w:numPr>
          <w:ilvl w:val="0"/>
          <w:numId w:val="3"/>
        </w:numPr>
        <w:spacing w:after="100" w:line="276"/>
        <w:ind w:left="720" w:hanging="360"/>
        <w:jc w:val="left"/>
      </w:pPr>
      <w:r>
        <w:rPr>
          <w:b/>
          <w:bCs/>
          <w:sz w:val="22"/>
          <w:szCs w:val="22"/>
          <w:rFonts w:ascii="Arial" w:cs="Arial" w:eastAsia="Arial" w:hAnsi="Arial"/>
        </w:rPr>
        <w:t xml:space="preserve">Tempistica:</w:t>
      </w:r>
      <w:r>
        <w:rPr>
          <w:sz w:val="22"/>
          <w:szCs w:val="22"/>
          <w:rFonts w:ascii="Arial" w:cs="Arial" w:eastAsia="Arial" w:hAnsi="Arial"/>
        </w:rPr>
        <w:t xml:space="preserve"> 4–8 mesi dall'assegnazione</w:t>
      </w:r>
    </w:p>
    <w:p>
      <w:pPr>
        <w:pStyle w:val="ListParagraph"/>
        <w:numPr>
          <w:ilvl w:val="0"/>
          <w:numId w:val="3"/>
        </w:numPr>
        <w:spacing w:after="100" w:line="276"/>
        <w:ind w:left="720" w:hanging="360"/>
        <w:jc w:val="left"/>
      </w:pPr>
      <w:r>
        <w:rPr>
          <w:b/>
          <w:bCs/>
          <w:sz w:val="22"/>
          <w:szCs w:val="22"/>
          <w:rFonts w:ascii="Arial" w:cs="Arial" w:eastAsia="Arial" w:hAnsi="Arial"/>
        </w:rPr>
        <w:t xml:space="preserve">Documento chiave:</w:t>
      </w:r>
      <w:r>
        <w:rPr>
          <w:sz w:val="22"/>
          <w:szCs w:val="22"/>
          <w:rFonts w:ascii="Arial" w:cs="Arial" w:eastAsia="Arial" w:hAnsi="Arial"/>
        </w:rPr>
        <w:t xml:space="preserve"> Emendamenti in commissione; testo adottato dalla Camera.</w:t>
      </w:r>
    </w:p>
    <w:p>
      <w:pPr>
        <w:pStyle w:val="ListParagraph"/>
        <w:numPr>
          <w:ilvl w:val="0"/>
          <w:numId w:val="3"/>
        </w:numPr>
        <w:spacing w:after="100" w:line="276"/>
        <w:ind w:left="720" w:hanging="360"/>
        <w:jc w:val="left"/>
      </w:pPr>
      <w:r>
        <w:rPr>
          <w:b/>
          <w:bCs/>
          <w:sz w:val="22"/>
          <w:szCs w:val="22"/>
          <w:rFonts w:ascii="Arial" w:cs="Arial" w:eastAsia="Arial" w:hAnsi="Arial"/>
        </w:rPr>
        <w:t xml:space="preserve">Punto di ingresso:</w:t>
      </w:r>
      <w:r>
        <w:rPr>
          <w:sz w:val="22"/>
          <w:szCs w:val="22"/>
          <w:rFonts w:ascii="Arial" w:cs="Arial" w:eastAsia="Arial" w:hAnsi="Arial"/>
        </w:rPr>
        <w:t xml:space="preserve"> Presidenza della Camera (Lorenzo Fontana, Lega) per calendarizzazione; relatore di commissione (parlamentare di FdI o Lega, da identificare con il gruppo parlamentare).</w:t>
      </w:r>
    </w:p>
    <w:p>
      <w:pPr>
        <w:pStyle w:val="ListParagraph"/>
        <w:numPr>
          <w:ilvl w:val="0"/>
          <w:numId w:val="3"/>
        </w:numPr>
        <w:spacing w:after="100" w:line="276"/>
        <w:ind w:left="720" w:hanging="360"/>
        <w:jc w:val="left"/>
      </w:pPr>
      <w:r>
        <w:rPr>
          <w:b/>
          <w:bCs/>
          <w:sz w:val="22"/>
          <w:szCs w:val="22"/>
          <w:rFonts w:ascii="Arial" w:cs="Arial" w:eastAsia="Arial" w:hAnsi="Arial"/>
        </w:rPr>
        <w:t xml:space="preserve">Note politiche:</w:t>
      </w:r>
      <w:r>
        <w:rPr>
          <w:sz w:val="22"/>
          <w:szCs w:val="22"/>
          <w:rFonts w:ascii="Arial" w:cs="Arial" w:eastAsia="Arial" w:hAnsi="Arial"/>
        </w:rPr>
        <w:t xml:space="preserve"> Le audizioni in commissione sono la fase critica: Egualia (industria dei generici) si opporrà, argomentando che l'estensione ritarda l'ingresso dei farmaci equivalenti. Dalla data di presentazione della domanda di brevetto a quella di rilascio della prima autorizzazione all'immissione in commercio di un medicinale, possono trascorrere anche numerosi anni che andrebbero a ridurre drasticamente la possibilità di sfruttamento esclusivo dell'invenzione. Questo argomento va rafforzato con i dati AIFA specifici sui ritardi superiori ai 24 mesi.</w:t>
      </w:r>
    </w:p>
    <w:p>
      <w:pPr>
        <w:pBdr>
          <w:bottom w:val="single" w:color="D0D0D0" w:sz="4" w:space="2"/>
        </w:pBdr>
        <w:spacing w:after="10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Fase 5: Iter Parlamentare — Seconda Camera (Senato della Repubblica)</w:t>
      </w:r>
    </w:p>
    <w:p>
      <w:pPr>
        <w:pStyle w:val="ListParagraph"/>
        <w:numPr>
          <w:ilvl w:val="0"/>
          <w:numId w:val="3"/>
        </w:numPr>
        <w:spacing w:after="100" w:line="276"/>
        <w:ind w:left="720" w:hanging="360"/>
        <w:jc w:val="left"/>
      </w:pPr>
      <w:r>
        <w:rPr>
          <w:b/>
          <w:bCs/>
          <w:sz w:val="22"/>
          <w:szCs w:val="22"/>
          <w:rFonts w:ascii="Arial" w:cs="Arial" w:eastAsia="Arial" w:hAnsi="Arial"/>
        </w:rPr>
        <w:t xml:space="preserve">Attore principale:</w:t>
      </w:r>
      <w:r>
        <w:rPr>
          <w:sz w:val="22"/>
          <w:szCs w:val="22"/>
          <w:rFonts w:ascii="Arial" w:cs="Arial" w:eastAsia="Arial" w:hAnsi="Arial"/>
        </w:rPr>
        <w:t xml:space="preserve"> 12ª Commissione Igiene e Sanità (Senato) + 10ª Commissione Industria (Senato)</w:t>
      </w:r>
    </w:p>
    <w:p>
      <w:pPr>
        <w:pStyle w:val="ListParagraph"/>
        <w:numPr>
          <w:ilvl w:val="0"/>
          <w:numId w:val="3"/>
        </w:numPr>
        <w:spacing w:after="100" w:line="276"/>
        <w:ind w:left="720" w:hanging="360"/>
        <w:jc w:val="left"/>
      </w:pPr>
      <w:r>
        <w:rPr>
          <w:b/>
          <w:bCs/>
          <w:sz w:val="22"/>
          <w:szCs w:val="22"/>
          <w:rFonts w:ascii="Arial" w:cs="Arial" w:eastAsia="Arial" w:hAnsi="Arial"/>
        </w:rPr>
        <w:t xml:space="preserve">Cosa è richiesto:</w:t>
      </w:r>
      <w:r>
        <w:rPr>
          <w:sz w:val="22"/>
          <w:szCs w:val="22"/>
          <w:rFonts w:ascii="Arial" w:cs="Arial" w:eastAsia="Arial" w:hAnsi="Arial"/>
        </w:rPr>
        <w:t xml:space="preserve"> Ripetizione dell'iter in Senato. Italia ha bicameralismo perfetto: le procedure sono attualmente svolte a livello nazionale con il risultato di generare costi elevati e oneri amministrativi aggiuntivi. Il testo approvato dalla Camera deve essere votato identico; in caso di modifiche, il testo torna alla Camera (</w:t>
      </w:r>
      <w:r>
        <w:rPr>
          <w:i/>
          <w:iCs/>
          <w:sz w:val="22"/>
          <w:szCs w:val="22"/>
          <w:rFonts w:ascii="Arial" w:cs="Arial" w:eastAsia="Arial" w:hAnsi="Arial"/>
        </w:rPr>
        <w:t xml:space="preserve">navette</w:t>
      </w:r>
      <w:r>
        <w:rPr>
          <w:sz w:val="22"/>
          <w:szCs w:val="22"/>
          <w:rFonts w:ascii="Arial" w:cs="Arial" w:eastAsia="Arial" w:hAnsi="Arial"/>
        </w:rPr>
        <w:t xml:space="preserve">).</w:t>
      </w:r>
    </w:p>
    <w:p>
      <w:pPr>
        <w:pStyle w:val="ListParagraph"/>
        <w:numPr>
          <w:ilvl w:val="0"/>
          <w:numId w:val="3"/>
        </w:numPr>
        <w:spacing w:after="100" w:line="276"/>
        <w:ind w:left="720" w:hanging="360"/>
        <w:jc w:val="left"/>
      </w:pPr>
      <w:r>
        <w:rPr>
          <w:b/>
          <w:bCs/>
          <w:sz w:val="22"/>
          <w:szCs w:val="22"/>
          <w:rFonts w:ascii="Arial" w:cs="Arial" w:eastAsia="Arial" w:hAnsi="Arial"/>
        </w:rPr>
        <w:t xml:space="preserve">Tempistica:</w:t>
      </w:r>
      <w:r>
        <w:rPr>
          <w:sz w:val="22"/>
          <w:szCs w:val="22"/>
          <w:rFonts w:ascii="Arial" w:cs="Arial" w:eastAsia="Arial" w:hAnsi="Arial"/>
        </w:rPr>
        <w:t xml:space="preserve"> 3–6 mesi</w:t>
      </w:r>
    </w:p>
    <w:p>
      <w:pPr>
        <w:pStyle w:val="ListParagraph"/>
        <w:numPr>
          <w:ilvl w:val="0"/>
          <w:numId w:val="3"/>
        </w:numPr>
        <w:spacing w:after="100" w:line="276"/>
        <w:ind w:left="720" w:hanging="360"/>
        <w:jc w:val="left"/>
      </w:pPr>
      <w:r>
        <w:rPr>
          <w:b/>
          <w:bCs/>
          <w:sz w:val="22"/>
          <w:szCs w:val="22"/>
          <w:rFonts w:ascii="Arial" w:cs="Arial" w:eastAsia="Arial" w:hAnsi="Arial"/>
        </w:rPr>
        <w:t xml:space="preserve">Documento chiave:</w:t>
      </w:r>
      <w:r>
        <w:rPr>
          <w:sz w:val="22"/>
          <w:szCs w:val="22"/>
          <w:rFonts w:ascii="Arial" w:cs="Arial" w:eastAsia="Arial" w:hAnsi="Arial"/>
        </w:rPr>
        <w:t xml:space="preserve"> Testo conforme a quello della Camera; eventuali emendamenti coordinati preventivamente tra i gruppi parlamentari delle due Camere per evitare la navette.</w:t>
      </w:r>
    </w:p>
    <w:p>
      <w:pPr>
        <w:pStyle w:val="ListParagraph"/>
        <w:numPr>
          <w:ilvl w:val="0"/>
          <w:numId w:val="3"/>
        </w:numPr>
        <w:spacing w:after="100" w:line="276"/>
        <w:ind w:left="720" w:hanging="360"/>
        <w:jc w:val="left"/>
      </w:pPr>
      <w:r>
        <w:rPr>
          <w:b/>
          <w:bCs/>
          <w:sz w:val="22"/>
          <w:szCs w:val="22"/>
          <w:rFonts w:ascii="Arial" w:cs="Arial" w:eastAsia="Arial" w:hAnsi="Arial"/>
        </w:rPr>
        <w:t xml:space="preserve">Punto di ingresso:</w:t>
      </w:r>
      <w:r>
        <w:rPr>
          <w:sz w:val="22"/>
          <w:szCs w:val="22"/>
          <w:rFonts w:ascii="Arial" w:cs="Arial" w:eastAsia="Arial" w:hAnsi="Arial"/>
        </w:rPr>
        <w:t xml:space="preserve"> Presidenza del Senato (Ignazio La Russa, FdI) per calendarizzazione. La Russa è un alleato naturale per un provvedimento pro-innovazione in linea con la narrativa "Made in Italy".</w:t>
      </w:r>
    </w:p>
    <w:p>
      <w:pPr>
        <w:pStyle w:val="ListParagraph"/>
        <w:numPr>
          <w:ilvl w:val="0"/>
          <w:numId w:val="3"/>
        </w:numPr>
        <w:spacing w:after="100" w:line="276"/>
        <w:ind w:left="720" w:hanging="360"/>
        <w:jc w:val="left"/>
      </w:pPr>
      <w:r>
        <w:rPr>
          <w:b/>
          <w:bCs/>
          <w:sz w:val="22"/>
          <w:szCs w:val="22"/>
          <w:rFonts w:ascii="Arial" w:cs="Arial" w:eastAsia="Arial" w:hAnsi="Arial"/>
        </w:rPr>
        <w:t xml:space="preserve">Note politiche:</w:t>
      </w:r>
      <w:r>
        <w:rPr>
          <w:sz w:val="22"/>
          <w:szCs w:val="22"/>
          <w:rFonts w:ascii="Arial" w:cs="Arial" w:eastAsia="Arial" w:hAnsi="Arial"/>
        </w:rPr>
        <w:t xml:space="preserve"> Il Senato tende ad avere una cultura più tecnica e meno partigiana della Camera. Le audizioni di AIFA e ISS saranno decisive per la credibilità scientifica del meccanismo dei 24 mesi.</w:t>
      </w:r>
    </w:p>
    <w:p>
      <w:pPr>
        <w:pBdr>
          <w:bottom w:val="single" w:color="D0D0D0" w:sz="4" w:space="2"/>
        </w:pBdr>
        <w:spacing w:after="100"/>
        <w:jc w:val="left"/>
      </w:pPr>
      <w:r>
        <w:rPr>
          <w:sz w:val="22"/>
          <w:szCs w:val="22"/>
          <w:rFonts w:ascii="Arial" w:cs="Arial" w:eastAsia="Arial" w:hAnsi="Arial"/>
        </w:rPr>
      </w:r>
    </w:p>
    <w:p>
      <w:pPr>
        <w:pStyle w:val="Heading3"/>
        <w:spacing w:before="160" w:after="80"/>
        <w:jc w:val="left"/>
      </w:pPr>
      <w:r>
        <w:rPr>
          <w:b/>
          <w:bCs/>
          <w:color w:val="1B2B4B"/>
          <w:sz w:val="23"/>
          <w:szCs w:val="23"/>
          <w:rFonts w:ascii="Arial" w:cs="Arial" w:eastAsia="Arial" w:hAnsi="Arial"/>
        </w:rPr>
        <w:t xml:space="preserve">Fase 6: Promulgazione e Coordinamento Europeo Parallelo</w:t>
      </w:r>
    </w:p>
    <w:p>
      <w:pPr>
        <w:pStyle w:val="ListParagraph"/>
        <w:numPr>
          <w:ilvl w:val="0"/>
          <w:numId w:val="3"/>
        </w:numPr>
        <w:spacing w:after="100" w:line="276"/>
        <w:ind w:left="720" w:hanging="360"/>
        <w:jc w:val="left"/>
      </w:pPr>
      <w:r>
        <w:rPr>
          <w:b/>
          <w:bCs/>
          <w:sz w:val="22"/>
          <w:szCs w:val="22"/>
          <w:rFonts w:ascii="Arial" w:cs="Arial" w:eastAsia="Arial" w:hAnsi="Arial"/>
        </w:rPr>
        <w:t xml:space="preserve">Attore principale:</w:t>
      </w:r>
      <w:r>
        <w:rPr>
          <w:sz w:val="22"/>
          <w:szCs w:val="22"/>
          <w:rFonts w:ascii="Arial" w:cs="Arial" w:eastAsia="Arial" w:hAnsi="Arial"/>
        </w:rPr>
        <w:t xml:space="preserve"> Presidente della Repubblica Sergio Mattarella + MIMIT (per il fronte UE)</w:t>
      </w:r>
    </w:p>
    <w:p>
      <w:pPr>
        <w:pStyle w:val="ListParagraph"/>
        <w:numPr>
          <w:ilvl w:val="0"/>
          <w:numId w:val="3"/>
        </w:numPr>
        <w:spacing w:after="100" w:line="276"/>
        <w:ind w:left="720" w:hanging="360"/>
        <w:jc w:val="left"/>
      </w:pPr>
      <w:r>
        <w:rPr>
          <w:b/>
          <w:bCs/>
          <w:sz w:val="22"/>
          <w:szCs w:val="22"/>
          <w:rFonts w:ascii="Arial" w:cs="Arial" w:eastAsia="Arial" w:hAnsi="Arial"/>
        </w:rPr>
        <w:t xml:space="preserve">Cosa è richiesto:</w:t>
      </w:r>
      <w:r>
        <w:rPr>
          <w:sz w:val="22"/>
          <w:szCs w:val="22"/>
          <w:rFonts w:ascii="Arial" w:cs="Arial" w:eastAsia="Arial" w:hAnsi="Arial"/>
        </w:rPr>
        <w:t xml:space="preserve"> Promulgazione presidenziale (Mattarella può rinviare al Parlamento se rileva incompatibilità con il diritto UE — questo è il rischio residuo più alto). Parallelamente, il MIMIT deve aver già depositato la posizione italiana formale al Consiglio UE nella revisione del Reg. 469/2009 per legittimare la norma nazionale come misura transitoria in attesa dell'armonizzazione europea.</w:t>
      </w:r>
    </w:p>
    <w:p>
      <w:pPr>
        <w:pStyle w:val="ListParagraph"/>
        <w:numPr>
          <w:ilvl w:val="0"/>
          <w:numId w:val="3"/>
        </w:numPr>
        <w:spacing w:after="100" w:line="276"/>
        <w:ind w:left="720" w:hanging="360"/>
        <w:jc w:val="left"/>
      </w:pPr>
      <w:r>
        <w:rPr>
          <w:b/>
          <w:bCs/>
          <w:sz w:val="22"/>
          <w:szCs w:val="22"/>
          <w:rFonts w:ascii="Arial" w:cs="Arial" w:eastAsia="Arial" w:hAnsi="Arial"/>
        </w:rPr>
        <w:t xml:space="preserve">Tempistica:</w:t>
      </w:r>
      <w:r>
        <w:rPr>
          <w:sz w:val="22"/>
          <w:szCs w:val="22"/>
          <w:rFonts w:ascii="Arial" w:cs="Arial" w:eastAsia="Arial" w:hAnsi="Arial"/>
        </w:rPr>
        <w:t xml:space="preserve"> 30 giorni per la promulgazione presidenziale</w:t>
      </w:r>
    </w:p>
    <w:p>
      <w:pPr>
        <w:pStyle w:val="ListParagraph"/>
        <w:numPr>
          <w:ilvl w:val="0"/>
          <w:numId w:val="3"/>
        </w:numPr>
        <w:spacing w:after="100" w:line="276"/>
        <w:ind w:left="720" w:hanging="360"/>
        <w:jc w:val="left"/>
      </w:pPr>
      <w:r>
        <w:rPr>
          <w:b/>
          <w:bCs/>
          <w:sz w:val="22"/>
          <w:szCs w:val="22"/>
          <w:rFonts w:ascii="Arial" w:cs="Arial" w:eastAsia="Arial" w:hAnsi="Arial"/>
        </w:rPr>
        <w:t xml:space="preserve">Documento chiave:</w:t>
      </w:r>
      <w:r>
        <w:rPr>
          <w:sz w:val="22"/>
          <w:szCs w:val="22"/>
          <w:rFonts w:ascii="Arial" w:cs="Arial" w:eastAsia="Arial" w:hAnsi="Arial"/>
        </w:rPr>
        <w:t xml:space="preserve"> Legge pubblicata in Gazzetta Ufficiale; nota diplomatica italiana alla Commissione UE sulla posizione in materia di SPC.</w:t>
      </w:r>
    </w:p>
    <w:p>
      <w:pPr>
        <w:pStyle w:val="ListParagraph"/>
        <w:numPr>
          <w:ilvl w:val="0"/>
          <w:numId w:val="3"/>
        </w:numPr>
        <w:spacing w:after="100" w:line="276"/>
        <w:ind w:left="720" w:hanging="360"/>
        <w:jc w:val="left"/>
      </w:pPr>
      <w:r>
        <w:rPr>
          <w:b/>
          <w:bCs/>
          <w:sz w:val="22"/>
          <w:szCs w:val="22"/>
          <w:rFonts w:ascii="Arial" w:cs="Arial" w:eastAsia="Arial" w:hAnsi="Arial"/>
        </w:rPr>
        <w:t xml:space="preserve">Note politiche:</w:t>
      </w:r>
      <w:r>
        <w:rPr>
          <w:sz w:val="22"/>
          <w:szCs w:val="22"/>
          <w:rFonts w:ascii="Arial" w:cs="Arial" w:eastAsia="Arial" w:hAnsi="Arial"/>
        </w:rPr>
        <w:t xml:space="preserve"> Mattarella non è un "rubber stamp": ha già rinviato alle Camere leggi ritenute incompatibili con il diritto europeo. La costruzione della compatibilità giuridica con il Reg. 469/2009 (attraverso la configurazione come diritto </w:t>
      </w:r>
      <w:r>
        <w:rPr>
          <w:i/>
          <w:iCs/>
          <w:sz w:val="22"/>
          <w:szCs w:val="22"/>
          <w:rFonts w:ascii="Arial" w:cs="Arial" w:eastAsia="Arial" w:hAnsi="Arial"/>
        </w:rPr>
        <w:t xml:space="preserve">distinto</w:t>
      </w:r>
      <w:r>
        <w:rPr>
          <w:sz w:val="22"/>
          <w:szCs w:val="22"/>
          <w:rFonts w:ascii="Arial" w:cs="Arial" w:eastAsia="Arial" w:hAnsi="Arial"/>
        </w:rPr>
        <w:t xml:space="preserve"> dal SPC, non come estensione del SPC stesso) è la chiave per superare questo rischio.</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 Percorso di Riserva: Emendamento alla Legge di Bilancio</w:t>
      </w:r>
    </w:p>
    <w:p>
      <w:pPr>
        <w:spacing w:after="140" w:line="276"/>
        <w:jc w:val="left"/>
      </w:pPr>
      <w:r>
        <w:rPr>
          <w:sz w:val="22"/>
          <w:szCs w:val="22"/>
          <w:rFonts w:ascii="Arial" w:cs="Arial" w:eastAsia="Arial" w:hAnsi="Arial"/>
        </w:rPr>
        <w:t xml:space="preserve">Se il DDL governativo non viene calendarizzato entro il primo semestre 2027 (rischio concreto in caso di crisi di governo o rinvii parlamentari), il percorso alternativo è l'inserimento come emendamento nella Legge di Bilancio 2028 (discussione: settembre–dicembre 2027).</w:t>
      </w:r>
    </w:p>
    <w:p>
      <w:pPr>
        <w:spacing w:before="160" w:after="80"/>
        <w:jc w:val="left"/>
      </w:pPr>
      <w:r>
        <w:rPr>
          <w:b/>
          <w:bCs/>
          <w:color w:val="1B2B4B"/>
          <w:sz w:val="23"/>
          <w:szCs w:val="23"/>
          <w:rFonts w:ascii="Arial" w:cs="Arial" w:eastAsia="Arial" w:hAnsi="Arial"/>
        </w:rPr>
        <w:t xml:space="preserve">Passi principali:</w:t>
      </w:r>
    </w:p>
    <w:p>
      <w:pPr>
        <w:pStyle w:val="ListParagraph"/>
        <w:numPr>
          <w:ilvl w:val="0"/>
          <w:numId w:val="2"/>
        </w:numPr>
        <w:spacing w:after="100" w:line="276"/>
        <w:ind w:left="720" w:hanging="360"/>
        <w:jc w:val="left"/>
      </w:pPr>
      <w:r>
        <w:rPr>
          <w:sz w:val="22"/>
          <w:szCs w:val="22"/>
          <w:rFonts w:ascii="Arial" w:cs="Arial" w:eastAsia="Arial" w:hAnsi="Arial"/>
        </w:rPr>
        <w:t xml:space="preserve">Identificazione di un parlamentare relatore della manovra (preferibilmente della XII o X Commissione di una delle due Camere) disposto a presentare l'emendamento durante l'esame in commissione.</w:t>
      </w:r>
    </w:p>
    <w:p>
      <w:pPr>
        <w:pStyle w:val="ListParagraph"/>
        <w:numPr>
          <w:ilvl w:val="0"/>
          <w:numId w:val="2"/>
        </w:numPr>
        <w:spacing w:after="100" w:line="276"/>
        <w:ind w:left="720" w:hanging="360"/>
        <w:jc w:val="left"/>
      </w:pPr>
      <w:r>
        <w:rPr>
          <w:sz w:val="22"/>
          <w:szCs w:val="22"/>
          <w:rFonts w:ascii="Arial" w:cs="Arial" w:eastAsia="Arial" w:hAnsi="Arial"/>
        </w:rPr>
        <w:t xml:space="preserve">Formulazione dell'emendamento come norma di coordinamento dell'art. 61 CPI, con copertura finanziaria azzerata (se il meccanismo si attiva solo per ritardi &gt; 24 mesi già verificatisi, l'impatto futuro è stimabile e contenuto).</w:t>
      </w:r>
    </w:p>
    <w:p>
      <w:pPr>
        <w:pStyle w:val="ListParagraph"/>
        <w:numPr>
          <w:ilvl w:val="0"/>
          <w:numId w:val="2"/>
        </w:numPr>
        <w:spacing w:after="100" w:line="276"/>
        <w:ind w:left="720" w:hanging="360"/>
        <w:jc w:val="left"/>
      </w:pPr>
      <w:r>
        <w:rPr>
          <w:sz w:val="22"/>
          <w:szCs w:val="22"/>
          <w:rFonts w:ascii="Arial" w:cs="Arial" w:eastAsia="Arial" w:hAnsi="Arial"/>
        </w:rPr>
        <w:t xml:space="preserve">Coordinamento preventivo con il MEF per evitare lo stralcio per estraneità di materia (art. 126-bis del Regolamento della Camera).</w:t>
      </w:r>
    </w:p>
    <w:p>
      <w:pPr>
        <w:spacing w:after="140" w:line="276"/>
        <w:jc w:val="left"/>
      </w:pPr>
      <w:r>
        <w:rPr>
          <w:b/>
          <w:bCs/>
          <w:sz w:val="22"/>
          <w:szCs w:val="22"/>
          <w:rFonts w:ascii="Arial" w:cs="Arial" w:eastAsia="Arial" w:hAnsi="Arial"/>
        </w:rPr>
        <w:t xml:space="preserve">Limite:</w:t>
      </w:r>
      <w:r>
        <w:rPr>
          <w:sz w:val="22"/>
          <w:szCs w:val="22"/>
          <w:rFonts w:ascii="Arial" w:cs="Arial" w:eastAsia="Arial" w:hAnsi="Arial"/>
        </w:rPr>
        <w:t xml:space="preserve"> Il rischio di stralcio per "estraneità di materia" è elevato. Tuttavia, la Legge di Bilancio italiana è tradizionalmente usata come veicolo omnibus. La chiave è il </w:t>
      </w:r>
      <w:r>
        <w:rPr>
          <w:i/>
          <w:iCs/>
          <w:sz w:val="22"/>
          <w:szCs w:val="22"/>
          <w:rFonts w:ascii="Arial" w:cs="Arial" w:eastAsia="Arial" w:hAnsi="Arial"/>
        </w:rPr>
        <w:t xml:space="preserve">framing</w:t>
      </w:r>
      <w:r>
        <w:rPr>
          <w:sz w:val="22"/>
          <w:szCs w:val="22"/>
          <w:rFonts w:ascii="Arial" w:cs="Arial" w:eastAsia="Arial" w:hAnsi="Arial"/>
        </w:rPr>
        <w:t xml:space="preserve"> come misura di "competitività industriale e attrattività degli investimenti in R&amp;D farmaceutico" — compatibile con le missioni della manovra.</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 Finestre di Opportunità</w:t>
      </w:r>
    </w:p>
    <w:p>
      <w:pPr>
        <w:pStyle w:val="ListParagraph"/>
        <w:numPr>
          <w:ilvl w:val="0"/>
          <w:numId w:val="3"/>
        </w:numPr>
        <w:spacing w:after="100" w:line="276"/>
        <w:ind w:left="720" w:hanging="360"/>
        <w:jc w:val="left"/>
      </w:pPr>
      <w:r>
        <w:rPr>
          <w:b/>
          <w:bCs/>
          <w:sz w:val="22"/>
          <w:szCs w:val="22"/>
          <w:rFonts w:ascii="Arial" w:cs="Arial" w:eastAsia="Arial" w:hAnsi="Arial"/>
        </w:rPr>
        <w:t xml:space="preserve">Maggio–luglio 2026 — Sessione parlamentare ordinaria:</w:t>
      </w:r>
      <w:r>
        <w:rPr>
          <w:sz w:val="22"/>
          <w:szCs w:val="22"/>
          <w:rFonts w:ascii="Arial" w:cs="Arial" w:eastAsia="Arial" w:hAnsi="Arial"/>
        </w:rPr>
        <w:t xml:space="preserve"> Finestra ideale per il lancio del dossier tecnico e delle audizioni informali. Il Parlamento è in piena attività; le commissioni XII e X della Camera sono accessibili per incontri tecnici. Scade con la pausa estiva di agosto.</w:t>
      </w:r>
    </w:p>
    <w:p>
      <w:pPr>
        <w:pStyle w:val="ListParagraph"/>
        <w:numPr>
          <w:ilvl w:val="0"/>
          <w:numId w:val="3"/>
        </w:numPr>
        <w:spacing w:after="100" w:line="276"/>
        <w:ind w:left="720" w:hanging="360"/>
        <w:jc w:val="left"/>
      </w:pPr>
      <w:r>
        <w:rPr>
          <w:b/>
          <w:bCs/>
          <w:sz w:val="22"/>
          <w:szCs w:val="22"/>
          <w:rFonts w:ascii="Arial" w:cs="Arial" w:eastAsia="Arial" w:hAnsi="Arial"/>
        </w:rPr>
        <w:t xml:space="preserve">Settembre–ottobre 2026 — Riapertura post-estiva prima della manovra:</w:t>
      </w:r>
      <w:r>
        <w:rPr>
          <w:sz w:val="22"/>
          <w:szCs w:val="22"/>
          <w:rFonts w:ascii="Arial" w:cs="Arial" w:eastAsia="Arial" w:hAnsi="Arial"/>
        </w:rPr>
        <w:t xml:space="preserve"> Momento cruciale per depositare il DDL governativo </w:t>
      </w:r>
      <w:r>
        <w:rPr>
          <w:i/>
          <w:iCs/>
          <w:sz w:val="22"/>
          <w:szCs w:val="22"/>
          <w:rFonts w:ascii="Arial" w:cs="Arial" w:eastAsia="Arial" w:hAnsi="Arial"/>
        </w:rPr>
        <w:t xml:space="preserve">prima</w:t>
      </w:r>
      <w:r>
        <w:rPr>
          <w:sz w:val="22"/>
          <w:szCs w:val="22"/>
          <w:rFonts w:ascii="Arial" w:cs="Arial" w:eastAsia="Arial" w:hAnsi="Arial"/>
        </w:rPr>
        <w:t xml:space="preserve"> che l'attenzione parlamentare sia completamente assorbita dalla Legge di Bilancio (che domina da ottobre a dicembre). Un DDL depositato a settembre può essere assegnato in commissione e avviare le audizioni entro novembre.</w:t>
      </w:r>
    </w:p>
    <w:p>
      <w:pPr>
        <w:pStyle w:val="ListParagraph"/>
        <w:numPr>
          <w:ilvl w:val="0"/>
          <w:numId w:val="3"/>
        </w:numPr>
        <w:spacing w:after="100" w:line="276"/>
        <w:ind w:left="720" w:hanging="360"/>
        <w:jc w:val="left"/>
      </w:pPr>
      <w:r>
        <w:rPr>
          <w:b/>
          <w:bCs/>
          <w:sz w:val="22"/>
          <w:szCs w:val="22"/>
          <w:rFonts w:ascii="Arial" w:cs="Arial" w:eastAsia="Arial" w:hAnsi="Arial"/>
        </w:rPr>
        <w:t xml:space="preserve">Ottobre–dicembre 2026 — Iter Legge di Bilancio 2027:</w:t>
      </w:r>
      <w:r>
        <w:rPr>
          <w:sz w:val="22"/>
          <w:szCs w:val="22"/>
          <w:rFonts w:ascii="Arial" w:cs="Arial" w:eastAsia="Arial" w:hAnsi="Arial"/>
        </w:rPr>
        <w:t xml:space="preserve"> Finestra per il percorso di riserva (emendamento omnibus). Richiede coordinamento preventivo con il MEF da settembre. Se il DDL principale è già in commissione, questa finestra può essere usata per inserire disposizioni transitorie.</w:t>
      </w:r>
    </w:p>
    <w:p>
      <w:pPr>
        <w:pStyle w:val="ListParagraph"/>
        <w:numPr>
          <w:ilvl w:val="0"/>
          <w:numId w:val="3"/>
        </w:numPr>
        <w:spacing w:after="100" w:line="276"/>
        <w:ind w:left="720" w:hanging="360"/>
        <w:jc w:val="left"/>
      </w:pPr>
      <w:r>
        <w:rPr>
          <w:b/>
          <w:bCs/>
          <w:sz w:val="22"/>
          <w:szCs w:val="22"/>
          <w:rFonts w:ascii="Arial" w:cs="Arial" w:eastAsia="Arial" w:hAnsi="Arial"/>
        </w:rPr>
        <w:t xml:space="preserve">Febbraio–maggio 2027 — Sessione europea di revisione del Reg. 469/2009:</w:t>
      </w:r>
      <w:r>
        <w:rPr>
          <w:sz w:val="22"/>
          <w:szCs w:val="22"/>
          <w:rFonts w:ascii="Arial" w:cs="Arial" w:eastAsia="Arial" w:hAnsi="Arial"/>
        </w:rPr>
        <w:t xml:space="preserve"> Prosegue il cammino legislativo degli SPC unitari a effetto europeo: il Parlamento europeo ha votato in prima lettura la propria posizione sugli SPC unitari per i prodotti medicinali, approvando a larga maggioranza gli emendamenti alla proposta di regolamento della Commissione del 27 aprile 2023. Il trilogo tra Parlamento, Consiglio e Commissione UE è la finestra per far valere la posizione italiana (7 anni per ritardi regolatori nazionali documentati).</w:t>
      </w:r>
    </w:p>
    <w:p>
      <w:pPr>
        <w:pStyle w:val="ListParagraph"/>
        <w:numPr>
          <w:ilvl w:val="0"/>
          <w:numId w:val="3"/>
        </w:numPr>
        <w:spacing w:after="100" w:line="276"/>
        <w:ind w:left="720" w:hanging="360"/>
        <w:jc w:val="left"/>
      </w:pPr>
      <w:r>
        <w:rPr>
          <w:b/>
          <w:bCs/>
          <w:sz w:val="22"/>
          <w:szCs w:val="22"/>
          <w:rFonts w:ascii="Arial" w:cs="Arial" w:eastAsia="Arial" w:hAnsi="Arial"/>
        </w:rPr>
        <w:t xml:space="preserve">2027 (ante-elezioni) — Finestra pre-elettorale:</w:t>
      </w:r>
      <w:r>
        <w:rPr>
          <w:sz w:val="22"/>
          <w:szCs w:val="22"/>
          <w:rFonts w:ascii="Arial" w:cs="Arial" w:eastAsia="Arial" w:hAnsi="Arial"/>
        </w:rPr>
        <w:t xml:space="preserve"> Le elezioni politiche italiane sono previste entro la primavera 2027. Questo crea sia un'opportunità (i partiti di governo vogliono mostrare risultati su "innovazione e Made in Italy") che un rischio (crisi di governo e interruzione dell'iter). Il DDL deve essere approvato in almeno una Camera prima dello scioglimento del Parlamento per sopravvivere come testo base nella successiva legislatura.</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 Punti di Decisione Chiave</w:t>
      </w:r>
    </w:p>
    <w:p>
      <w:pPr>
        <w:spacing w:before="160" w:after="80"/>
        <w:jc w:val="left"/>
      </w:pPr>
      <w:r>
        <w:rPr>
          <w:b/>
          <w:bCs/>
          <w:color w:val="1B2B4B"/>
          <w:sz w:val="23"/>
          <w:szCs w:val="23"/>
          <w:rFonts w:ascii="Arial" w:cs="Arial" w:eastAsia="Arial" w:hAnsi="Arial"/>
        </w:rPr>
        <w:t xml:space="preserve">Punto 1 — Configurazione giuridica del meccanismo (compatibilità UE)</w:t>
      </w:r>
    </w:p>
    <w:p>
      <w:pPr>
        <w:pStyle w:val="ListParagraph"/>
        <w:numPr>
          <w:ilvl w:val="0"/>
          <w:numId w:val="3"/>
        </w:numPr>
        <w:spacing w:after="100" w:line="276"/>
        <w:ind w:left="720" w:hanging="360"/>
        <w:jc w:val="left"/>
      </w:pPr>
      <w:r>
        <w:rPr>
          <w:b/>
          <w:bCs/>
          <w:sz w:val="22"/>
          <w:szCs w:val="22"/>
          <w:rFonts w:ascii="Arial" w:cs="Arial" w:eastAsia="Arial" w:hAnsi="Arial"/>
        </w:rPr>
        <w:t xml:space="preserve">Cosa si decide:</w:t>
      </w:r>
      <w:r>
        <w:rPr>
          <w:sz w:val="22"/>
          <w:szCs w:val="22"/>
          <w:rFonts w:ascii="Arial" w:cs="Arial" w:eastAsia="Arial" w:hAnsi="Arial"/>
        </w:rPr>
        <w:t xml:space="preserve"> Se il meccanismo di ripristino è configurato come estensione del SPC europeo (in conflitto con il Reg. 469/2009) oppure come diritto nazionale </w:t>
      </w:r>
      <w:r>
        <w:rPr>
          <w:i/>
          <w:iCs/>
          <w:sz w:val="22"/>
          <w:szCs w:val="22"/>
          <w:rFonts w:ascii="Arial" w:cs="Arial" w:eastAsia="Arial" w:hAnsi="Arial"/>
        </w:rPr>
        <w:t xml:space="preserve">sui generis</w:t>
      </w:r>
      <w:r>
        <w:rPr>
          <w:sz w:val="22"/>
          <w:szCs w:val="22"/>
          <w:rFonts w:ascii="Arial" w:cs="Arial" w:eastAsia="Arial" w:hAnsi="Arial"/>
        </w:rPr>
        <w:t xml:space="preserve"> distinto, ancorato al solo ritardo AIFA documentato.</w:t>
      </w:r>
    </w:p>
    <w:p>
      <w:pPr>
        <w:pStyle w:val="ListParagraph"/>
        <w:numPr>
          <w:ilvl w:val="0"/>
          <w:numId w:val="3"/>
        </w:numPr>
        <w:spacing w:after="100" w:line="276"/>
        <w:ind w:left="720" w:hanging="360"/>
        <w:jc w:val="left"/>
      </w:pPr>
      <w:r>
        <w:rPr>
          <w:b/>
          <w:bCs/>
          <w:sz w:val="22"/>
          <w:szCs w:val="22"/>
          <w:rFonts w:ascii="Arial" w:cs="Arial" w:eastAsia="Arial" w:hAnsi="Arial"/>
        </w:rPr>
        <w:t xml:space="preserve">Chi decide:</w:t>
      </w:r>
      <w:r>
        <w:rPr>
          <w:sz w:val="22"/>
          <w:szCs w:val="22"/>
          <w:rFonts w:ascii="Arial" w:cs="Arial" w:eastAsia="Arial" w:hAnsi="Arial"/>
        </w:rPr>
        <w:t xml:space="preserve"> Ufficio legislativo MIMIT + Consiglio di Stato (parere preventivo)</w:t>
      </w:r>
    </w:p>
    <w:p>
      <w:pPr>
        <w:pStyle w:val="ListParagraph"/>
        <w:numPr>
          <w:ilvl w:val="0"/>
          <w:numId w:val="3"/>
        </w:numPr>
        <w:spacing w:after="100" w:line="276"/>
        <w:ind w:left="720" w:hanging="360"/>
        <w:jc w:val="left"/>
      </w:pPr>
      <w:r>
        <w:rPr>
          <w:b/>
          <w:bCs/>
          <w:sz w:val="22"/>
          <w:szCs w:val="22"/>
          <w:rFonts w:ascii="Arial" w:cs="Arial" w:eastAsia="Arial" w:hAnsi="Arial"/>
        </w:rPr>
        <w:t xml:space="preserve">Cosa lo influenza:</w:t>
      </w:r>
      <w:r>
        <w:rPr>
          <w:sz w:val="22"/>
          <w:szCs w:val="22"/>
          <w:rFonts w:ascii="Arial" w:cs="Arial" w:eastAsia="Arial" w:hAnsi="Arial"/>
        </w:rPr>
        <w:t xml:space="preserve"> Analisi giuridica commissionata da Farmindustria; precedenti della Corte di Giustizia UE sull'art. 13 Reg. 469/2009; posizione della Commissione UE sulla revisione del regolamento SPC.</w:t>
      </w:r>
    </w:p>
    <w:p>
      <w:pPr>
        <w:pStyle w:val="ListParagraph"/>
        <w:numPr>
          <w:ilvl w:val="0"/>
          <w:numId w:val="3"/>
        </w:numPr>
        <w:spacing w:after="100" w:line="276"/>
        <w:ind w:left="720" w:hanging="360"/>
        <w:jc w:val="left"/>
      </w:pPr>
      <w:r>
        <w:rPr>
          <w:b/>
          <w:bCs/>
          <w:sz w:val="22"/>
          <w:szCs w:val="22"/>
          <w:rFonts w:ascii="Arial" w:cs="Arial" w:eastAsia="Arial" w:hAnsi="Arial"/>
        </w:rPr>
        <w:t xml:space="preserve">Tempistica:</w:t>
      </w:r>
      <w:r>
        <w:rPr>
          <w:sz w:val="22"/>
          <w:szCs w:val="22"/>
          <w:rFonts w:ascii="Arial" w:cs="Arial" w:eastAsia="Arial" w:hAnsi="Arial"/>
        </w:rPr>
        <w:t xml:space="preserve"> Entro luglio 2026 (prima del deposito del DDL)</w:t>
      </w:r>
    </w:p>
    <w:p>
      <w:pPr>
        <w:spacing w:before="160" w:after="80"/>
        <w:jc w:val="left"/>
      </w:pPr>
      <w:r>
        <w:rPr>
          <w:b/>
          <w:bCs/>
          <w:color w:val="1B2B4B"/>
          <w:sz w:val="23"/>
          <w:szCs w:val="23"/>
          <w:rFonts w:ascii="Arial" w:cs="Arial" w:eastAsia="Arial" w:hAnsi="Arial"/>
        </w:rPr>
        <w:t xml:space="preserve">Punto 2 — Endorsement del MEF sulla neutralità fiscale</w:t>
      </w:r>
    </w:p>
    <w:p>
      <w:pPr>
        <w:pStyle w:val="ListParagraph"/>
        <w:numPr>
          <w:ilvl w:val="0"/>
          <w:numId w:val="3"/>
        </w:numPr>
        <w:spacing w:after="100" w:line="276"/>
        <w:ind w:left="720" w:hanging="360"/>
        <w:jc w:val="left"/>
      </w:pPr>
      <w:r>
        <w:rPr>
          <w:b/>
          <w:bCs/>
          <w:sz w:val="22"/>
          <w:szCs w:val="22"/>
          <w:rFonts w:ascii="Arial" w:cs="Arial" w:eastAsia="Arial" w:hAnsi="Arial"/>
        </w:rPr>
        <w:t xml:space="preserve">Cosa si decide:</w:t>
      </w:r>
      <w:r>
        <w:rPr>
          <w:sz w:val="22"/>
          <w:szCs w:val="22"/>
          <w:rFonts w:ascii="Arial" w:cs="Arial" w:eastAsia="Arial" w:hAnsi="Arial"/>
        </w:rPr>
        <w:t xml:space="preserve"> Il Ministro dell'Economia Giancarlo Giorgetti approva o meno la relazione tecnico-finanziaria che attesta la sostenibilità della misura per il SSN.</w:t>
      </w:r>
    </w:p>
    <w:p>
      <w:pPr>
        <w:pStyle w:val="ListParagraph"/>
        <w:numPr>
          <w:ilvl w:val="0"/>
          <w:numId w:val="3"/>
        </w:numPr>
        <w:spacing w:after="100" w:line="276"/>
        <w:ind w:left="720" w:hanging="360"/>
        <w:jc w:val="left"/>
      </w:pPr>
      <w:r>
        <w:rPr>
          <w:b/>
          <w:bCs/>
          <w:sz w:val="22"/>
          <w:szCs w:val="22"/>
          <w:rFonts w:ascii="Arial" w:cs="Arial" w:eastAsia="Arial" w:hAnsi="Arial"/>
        </w:rPr>
        <w:t xml:space="preserve">Chi decide:</w:t>
      </w:r>
      <w:r>
        <w:rPr>
          <w:sz w:val="22"/>
          <w:szCs w:val="22"/>
          <w:rFonts w:ascii="Arial" w:cs="Arial" w:eastAsia="Arial" w:hAnsi="Arial"/>
        </w:rPr>
        <w:t xml:space="preserve"> MEF — Ministro Giancarlo Giorgetti</w:t>
      </w:r>
    </w:p>
    <w:p>
      <w:pPr>
        <w:pStyle w:val="ListParagraph"/>
        <w:numPr>
          <w:ilvl w:val="0"/>
          <w:numId w:val="3"/>
        </w:numPr>
        <w:spacing w:after="100" w:line="276"/>
        <w:ind w:left="720" w:hanging="360"/>
        <w:jc w:val="left"/>
      </w:pPr>
      <w:r>
        <w:rPr>
          <w:b/>
          <w:bCs/>
          <w:sz w:val="22"/>
          <w:szCs w:val="22"/>
          <w:rFonts w:ascii="Arial" w:cs="Arial" w:eastAsia="Arial" w:hAnsi="Arial"/>
        </w:rPr>
        <w:t xml:space="preserve">Cosa lo influenza:</w:t>
      </w:r>
      <w:r>
        <w:rPr>
          <w:sz w:val="22"/>
          <w:szCs w:val="22"/>
          <w:rFonts w:ascii="Arial" w:cs="Arial" w:eastAsia="Arial" w:hAnsi="Arial"/>
        </w:rPr>
        <w:t xml:space="preserve"> Stima dell'impatto sul ritardo di entrata dei generici; dati AIFA sul numero di AIC interessate; formulazione del meccanismo come "soglia di ritardo documentato" (non come estensione generalizzata).</w:t>
      </w:r>
    </w:p>
    <w:p>
      <w:pPr>
        <w:pStyle w:val="ListParagraph"/>
        <w:numPr>
          <w:ilvl w:val="0"/>
          <w:numId w:val="3"/>
        </w:numPr>
        <w:spacing w:after="100" w:line="276"/>
        <w:ind w:left="720" w:hanging="360"/>
        <w:jc w:val="left"/>
      </w:pPr>
      <w:r>
        <w:rPr>
          <w:b/>
          <w:bCs/>
          <w:sz w:val="22"/>
          <w:szCs w:val="22"/>
          <w:rFonts w:ascii="Arial" w:cs="Arial" w:eastAsia="Arial" w:hAnsi="Arial"/>
        </w:rPr>
        <w:t xml:space="preserve">Tempistica:</w:t>
      </w:r>
      <w:r>
        <w:rPr>
          <w:sz w:val="22"/>
          <w:szCs w:val="22"/>
          <w:rFonts w:ascii="Arial" w:cs="Arial" w:eastAsia="Arial" w:hAnsi="Arial"/>
        </w:rPr>
        <w:t xml:space="preserve"> Settembre–ottobre 2026</w:t>
      </w:r>
    </w:p>
    <w:p>
      <w:pPr>
        <w:spacing w:before="160" w:after="80"/>
        <w:jc w:val="left"/>
      </w:pPr>
      <w:r>
        <w:rPr>
          <w:b/>
          <w:bCs/>
          <w:color w:val="1B2B4B"/>
          <w:sz w:val="23"/>
          <w:szCs w:val="23"/>
          <w:rFonts w:ascii="Arial" w:cs="Arial" w:eastAsia="Arial" w:hAnsi="Arial"/>
        </w:rPr>
        <w:t xml:space="preserve">Punto 3 — Calendarizzazione parlamentare</w:t>
      </w:r>
    </w:p>
    <w:p>
      <w:pPr>
        <w:pStyle w:val="ListParagraph"/>
        <w:numPr>
          <w:ilvl w:val="0"/>
          <w:numId w:val="3"/>
        </w:numPr>
        <w:spacing w:after="100" w:line="276"/>
        <w:ind w:left="720" w:hanging="360"/>
        <w:jc w:val="left"/>
      </w:pPr>
      <w:r>
        <w:rPr>
          <w:b/>
          <w:bCs/>
          <w:sz w:val="22"/>
          <w:szCs w:val="22"/>
          <w:rFonts w:ascii="Arial" w:cs="Arial" w:eastAsia="Arial" w:hAnsi="Arial"/>
        </w:rPr>
        <w:t xml:space="preserve">Cosa si decide:</w:t>
      </w:r>
      <w:r>
        <w:rPr>
          <w:sz w:val="22"/>
          <w:szCs w:val="22"/>
          <w:rFonts w:ascii="Arial" w:cs="Arial" w:eastAsia="Arial" w:hAnsi="Arial"/>
        </w:rPr>
        <w:t xml:space="preserve"> La Presidenza della Camera (Lorenzo Fontana) o del Senato (Ignazio La Russa) assegna il DDL in commissione e lo inserisce nel calendario dei lavori con priorità effettiva.</w:t>
      </w:r>
    </w:p>
    <w:p>
      <w:pPr>
        <w:pStyle w:val="ListParagraph"/>
        <w:numPr>
          <w:ilvl w:val="0"/>
          <w:numId w:val="3"/>
        </w:numPr>
        <w:spacing w:after="100" w:line="276"/>
        <w:ind w:left="720" w:hanging="360"/>
        <w:jc w:val="left"/>
      </w:pPr>
      <w:r>
        <w:rPr>
          <w:b/>
          <w:bCs/>
          <w:sz w:val="22"/>
          <w:szCs w:val="22"/>
          <w:rFonts w:ascii="Arial" w:cs="Arial" w:eastAsia="Arial" w:hAnsi="Arial"/>
        </w:rPr>
        <w:t xml:space="preserve">Chi decide:</w:t>
      </w:r>
      <w:r>
        <w:rPr>
          <w:sz w:val="22"/>
          <w:szCs w:val="22"/>
          <w:rFonts w:ascii="Arial" w:cs="Arial" w:eastAsia="Arial" w:hAnsi="Arial"/>
        </w:rPr>
        <w:t xml:space="preserve"> Presidenza della Camera + Conferenza dei Capigruppo</w:t>
      </w:r>
    </w:p>
    <w:p>
      <w:pPr>
        <w:pStyle w:val="ListParagraph"/>
        <w:numPr>
          <w:ilvl w:val="0"/>
          <w:numId w:val="3"/>
        </w:numPr>
        <w:spacing w:after="100" w:line="276"/>
        <w:ind w:left="720" w:hanging="360"/>
        <w:jc w:val="left"/>
      </w:pPr>
      <w:r>
        <w:rPr>
          <w:b/>
          <w:bCs/>
          <w:sz w:val="22"/>
          <w:szCs w:val="22"/>
          <w:rFonts w:ascii="Arial" w:cs="Arial" w:eastAsia="Arial" w:hAnsi="Arial"/>
        </w:rPr>
        <w:t xml:space="preserve">Cosa lo influenza:</w:t>
      </w:r>
      <w:r>
        <w:rPr>
          <w:sz w:val="22"/>
          <w:szCs w:val="22"/>
          <w:rFonts w:ascii="Arial" w:cs="Arial" w:eastAsia="Arial" w:hAnsi="Arial"/>
        </w:rPr>
        <w:t xml:space="preserve"> Pressione dei gruppi di maggioranza (FdI, Lega, FI); lobbying diretto sui Capigruppo delle commissioni XII e X; presenza di una "urgenza" narrativa (es. comparazione con lo standard USA, dati su investimenti farmaceutici persi in Italia).</w:t>
      </w:r>
    </w:p>
    <w:p>
      <w:pPr>
        <w:pStyle w:val="ListParagraph"/>
        <w:numPr>
          <w:ilvl w:val="0"/>
          <w:numId w:val="3"/>
        </w:numPr>
        <w:spacing w:after="100" w:line="276"/>
        <w:ind w:left="720" w:hanging="360"/>
        <w:jc w:val="left"/>
      </w:pPr>
      <w:r>
        <w:rPr>
          <w:b/>
          <w:bCs/>
          <w:sz w:val="22"/>
          <w:szCs w:val="22"/>
          <w:rFonts w:ascii="Arial" w:cs="Arial" w:eastAsia="Arial" w:hAnsi="Arial"/>
        </w:rPr>
        <w:t xml:space="preserve">Tempistica:</w:t>
      </w:r>
      <w:r>
        <w:rPr>
          <w:sz w:val="22"/>
          <w:szCs w:val="22"/>
          <w:rFonts w:ascii="Arial" w:cs="Arial" w:eastAsia="Arial" w:hAnsi="Arial"/>
        </w:rPr>
        <w:t xml:space="preserve"> Novembre 2026 – febbraio 2027</w:t>
      </w:r>
    </w:p>
    <w:p>
      <w:pPr>
        <w:spacing w:before="160" w:after="80"/>
        <w:jc w:val="left"/>
      </w:pPr>
      <w:r>
        <w:rPr>
          <w:b/>
          <w:bCs/>
          <w:color w:val="1B2B4B"/>
          <w:sz w:val="23"/>
          <w:szCs w:val="23"/>
          <w:rFonts w:ascii="Arial" w:cs="Arial" w:eastAsia="Arial" w:hAnsi="Arial"/>
        </w:rPr>
        <w:t xml:space="preserve">Punto 4 — Non-rinvio presidenziale</w:t>
      </w:r>
    </w:p>
    <w:p>
      <w:pPr>
        <w:pStyle w:val="ListParagraph"/>
        <w:numPr>
          <w:ilvl w:val="0"/>
          <w:numId w:val="3"/>
        </w:numPr>
        <w:spacing w:after="100" w:line="276"/>
        <w:ind w:left="720" w:hanging="360"/>
        <w:jc w:val="left"/>
      </w:pPr>
      <w:r>
        <w:rPr>
          <w:b/>
          <w:bCs/>
          <w:sz w:val="22"/>
          <w:szCs w:val="22"/>
          <w:rFonts w:ascii="Arial" w:cs="Arial" w:eastAsia="Arial" w:hAnsi="Arial"/>
        </w:rPr>
        <w:t xml:space="preserve">Cosa si decide:</w:t>
      </w:r>
      <w:r>
        <w:rPr>
          <w:sz w:val="22"/>
          <w:szCs w:val="22"/>
          <w:rFonts w:ascii="Arial" w:cs="Arial" w:eastAsia="Arial" w:hAnsi="Arial"/>
        </w:rPr>
        <w:t xml:space="preserve"> Il Presidente della Repubblica Sergio Mattarella promulga la legge senza rinviarla per incompatibilità con il diritto UE.</w:t>
      </w:r>
    </w:p>
    <w:p>
      <w:pPr>
        <w:pStyle w:val="ListParagraph"/>
        <w:numPr>
          <w:ilvl w:val="0"/>
          <w:numId w:val="3"/>
        </w:numPr>
        <w:spacing w:after="100" w:line="276"/>
        <w:ind w:left="720" w:hanging="360"/>
        <w:jc w:val="left"/>
      </w:pPr>
      <w:r>
        <w:rPr>
          <w:b/>
          <w:bCs/>
          <w:sz w:val="22"/>
          <w:szCs w:val="22"/>
          <w:rFonts w:ascii="Arial" w:cs="Arial" w:eastAsia="Arial" w:hAnsi="Arial"/>
        </w:rPr>
        <w:t xml:space="preserve">Chi decide:</w:t>
      </w:r>
      <w:r>
        <w:rPr>
          <w:sz w:val="22"/>
          <w:szCs w:val="22"/>
          <w:rFonts w:ascii="Arial" w:cs="Arial" w:eastAsia="Arial" w:hAnsi="Arial"/>
        </w:rPr>
        <w:t xml:space="preserve"> Sergio Mattarella (Presidente della Repubblica)</w:t>
      </w:r>
    </w:p>
    <w:p>
      <w:pPr>
        <w:pStyle w:val="ListParagraph"/>
        <w:numPr>
          <w:ilvl w:val="0"/>
          <w:numId w:val="3"/>
        </w:numPr>
        <w:spacing w:after="100" w:line="276"/>
        <w:ind w:left="720" w:hanging="360"/>
        <w:jc w:val="left"/>
      </w:pPr>
      <w:r>
        <w:rPr>
          <w:b/>
          <w:bCs/>
          <w:sz w:val="22"/>
          <w:szCs w:val="22"/>
          <w:rFonts w:ascii="Arial" w:cs="Arial" w:eastAsia="Arial" w:hAnsi="Arial"/>
        </w:rPr>
        <w:t xml:space="preserve">Cosa lo influenza:</w:t>
      </w:r>
      <w:r>
        <w:rPr>
          <w:sz w:val="22"/>
          <w:szCs w:val="22"/>
          <w:rFonts w:ascii="Arial" w:cs="Arial" w:eastAsia="Arial" w:hAnsi="Arial"/>
        </w:rPr>
        <w:t xml:space="preserve"> Solidità della costruzione giuridica della compatibilità con il Reg. 469/2009; parere favorevole del Consiglio di Stato incluso nel fascicolo del DDL; posizione della Commissione UE (se già formalmente informata in sede di revisione del Reg. SPC).</w:t>
      </w:r>
    </w:p>
    <w:p>
      <w:pPr>
        <w:pStyle w:val="ListParagraph"/>
        <w:numPr>
          <w:ilvl w:val="0"/>
          <w:numId w:val="3"/>
        </w:numPr>
        <w:spacing w:after="100" w:line="276"/>
        <w:ind w:left="720" w:hanging="360"/>
        <w:jc w:val="left"/>
      </w:pPr>
      <w:r>
        <w:rPr>
          <w:b/>
          <w:bCs/>
          <w:sz w:val="22"/>
          <w:szCs w:val="22"/>
          <w:rFonts w:ascii="Arial" w:cs="Arial" w:eastAsia="Arial" w:hAnsi="Arial"/>
        </w:rPr>
        <w:t xml:space="preserve">Tempistica:</w:t>
      </w:r>
      <w:r>
        <w:rPr>
          <w:sz w:val="22"/>
          <w:szCs w:val="22"/>
          <w:rFonts w:ascii="Arial" w:cs="Arial" w:eastAsia="Arial" w:hAnsi="Arial"/>
        </w:rPr>
        <w:t xml:space="preserve"> Ultimo stadio, al completamento dell'iter parlamentare</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 Rischi e Navigazione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11"/>
      </w:tblGrid>
      <w:tr>
        <w:trPr>
          <w:tblHeader/>
        </w:trPr>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Rischio</w:t>
            </w:r>
          </w:p>
        </w:tc>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Probabilità</w:t>
            </w:r>
          </w:p>
        </w:tc>
        <w:tc>
          <w:tcPr>
            <w:tcW w:type="dxa" w:w="2409"/>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Impatto</w:t>
            </w:r>
          </w:p>
        </w:tc>
        <w:tc>
          <w:tcPr>
            <w:tcW w:type="dxa" w:w="2411"/>
            <w:tcBorders>
              <w:top w:val="single" w:color="D0D0D0" w:sz="4"/>
              <w:left w:val="single" w:color="D0D0D0" w:sz="4"/>
              <w:bottom w:val="single" w:color="D0D0D0" w:sz="4"/>
              <w:right w:val="single" w:color="D0D0D0" w:sz="4"/>
            </w:tcBorders>
            <w:shd w:fill="1B2B4B" w:val="clear"/>
            <w:tcMar>
              <w:top w:type="dxa" w:w="80"/>
              <w:left w:type="dxa" w:w="100"/>
              <w:bottom w:type="dxa" w:w="80"/>
              <w:right w:type="dxa" w:w="100"/>
            </w:tcMar>
          </w:tcPr>
          <w:p>
            <w:pPr>
              <w:spacing w:after="0" w:line="264"/>
              <w:jc w:val="left"/>
            </w:pPr>
            <w:r>
              <w:rPr>
                <w:b/>
                <w:bCs/>
                <w:color w:val="FFFFFF"/>
                <w:sz w:val="19"/>
                <w:szCs w:val="19"/>
                <w:rFonts w:ascii="Arial" w:cs="Arial" w:eastAsia="Arial" w:hAnsi="Arial"/>
              </w:rPr>
              <w:t xml:space="preserve">Strategia di Navigazione</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Incompatibilità con il Reg. (CE) 469/2009</w:t>
            </w:r>
            <w:r>
              <w:rPr>
                <w:sz w:val="19"/>
                <w:szCs w:val="19"/>
                <w:rFonts w:ascii="Arial" w:cs="Arial" w:eastAsia="Arial" w:hAnsi="Arial"/>
              </w:rPr>
              <w:t xml:space="preserve"> — la norma nazionale supera il tetto di 5 anni dell'SPC europeo e viene impugnata dinnanzi alla CGUE o non promulgata da Mattarella</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Alta</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Critico</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Configurare il meccanismo come diritto nazionale </w:t>
            </w:r>
            <w:r>
              <w:rPr>
                <w:i/>
                <w:iCs/>
                <w:sz w:val="19"/>
                <w:szCs w:val="19"/>
                <w:rFonts w:ascii="Arial" w:cs="Arial" w:eastAsia="Arial" w:hAnsi="Arial"/>
              </w:rPr>
              <w:t xml:space="preserve">sui generis</w:t>
            </w:r>
            <w:r>
              <w:rPr>
                <w:sz w:val="19"/>
                <w:szCs w:val="19"/>
                <w:rFonts w:ascii="Arial" w:cs="Arial" w:eastAsia="Arial" w:hAnsi="Arial"/>
              </w:rPr>
              <w:t xml:space="preserve"> separato dal SPC, attivabile solo per il periodo di ritardo AIFA &gt; 24 mesi e non cumulabile con il CPC europeo; includere parere preventivo del Consiglio di Stato nel fascicolo</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Opposizione del MEF per impatto sul SSN</w:t>
            </w:r>
            <w:r>
              <w:rPr>
                <w:sz w:val="19"/>
                <w:szCs w:val="19"/>
                <w:rFonts w:ascii="Arial" w:cs="Arial" w:eastAsia="Arial" w:hAnsi="Arial"/>
              </w:rPr>
              <w:t xml:space="preserve"> — Giorgetti blocca il DDL in fase inter-ministeriale citando il ritardo nell'entrata dei generici e la spesa farmaceutica</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Media-Alta</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Alto</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Commissionare un'analisi economica indipendente (es. CERGAS Bocconi) che dimostri che la misura si attiva solo su un sottoinsieme limitato di farmaci con ritardi documentati; calcolare il numero reale di AIC con ritardi &gt; 24 mesi (presumibilmente limitato)</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Opposizione di Egualia (generici) e CGIL</w:t>
            </w:r>
            <w:r>
              <w:rPr>
                <w:sz w:val="19"/>
                <w:szCs w:val="19"/>
                <w:rFonts w:ascii="Arial" w:cs="Arial" w:eastAsia="Arial" w:hAnsi="Arial"/>
              </w:rPr>
              <w:t xml:space="preserve"> — le industrie del generico e i sindacati presentano il meccanismo come "evergreening" dei brevetti</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Media</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Alto</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Distinguere chiaramente il meccanismo dall'evergreening: non è un'estensione basata su modifiche del prodotto, ma su inefficienza regolatoria documentata e oggettiva di AIFA; includere una sunset clause automatica se i tempi AIFA scendono sotto i 24 mesi</w:t>
            </w:r>
          </w:p>
        </w:tc>
      </w:tr>
      <w:tr>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Crisi di governo o scioglimento anticipato del Parlamento</w:t>
            </w:r>
            <w:r>
              <w:rPr>
                <w:sz w:val="19"/>
                <w:szCs w:val="19"/>
                <w:rFonts w:ascii="Arial" w:cs="Arial" w:eastAsia="Arial" w:hAnsi="Arial"/>
              </w:rPr>
              <w:t xml:space="preserve"> — entro 2027 il governo Meloni cade e l'iter si interrompe</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Media</w:t>
            </w:r>
          </w:p>
        </w:tc>
        <w:tc>
          <w:tcPr>
            <w:tcW w:type="dxa" w:w="2409"/>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Alto</w:t>
            </w:r>
          </w:p>
        </w:tc>
        <w:tc>
          <w:tcPr>
            <w:tcW w:type="dxa" w:w="2411"/>
            <w:tcBorders>
              <w:top w:val="single" w:color="D0D0D0" w:sz="4"/>
              <w:left w:val="single" w:color="D0D0D0" w:sz="4"/>
              <w:bottom w:val="single" w:color="D0D0D0" w:sz="4"/>
              <w:right w:val="single" w:color="D0D0D0" w:sz="4"/>
            </w:tcBorders>
            <w:shd w:fill="F5F5F5" w:val="clear"/>
            <w:tcMar>
              <w:top w:type="dxa" w:w="80"/>
              <w:left w:type="dxa" w:w="100"/>
              <w:bottom w:type="dxa" w:w="80"/>
              <w:right w:type="dxa" w:w="100"/>
            </w:tcMar>
          </w:tcPr>
          <w:p>
            <w:pPr>
              <w:spacing w:after="0" w:line="264"/>
              <w:jc w:val="left"/>
            </w:pPr>
            <w:r>
              <w:rPr>
                <w:sz w:val="19"/>
                <w:szCs w:val="19"/>
                <w:rFonts w:ascii="Arial" w:cs="Arial" w:eastAsia="Arial" w:hAnsi="Arial"/>
              </w:rPr>
              <w:t xml:space="preserve">Accelerare l'approvazione in prima lettura alla Camera entro fine 2026; depositare il DDL come testo base ufficiale che sopravvive alla legislatura successiva come proposta governativa già istruita</w:t>
            </w:r>
          </w:p>
        </w:tc>
      </w:tr>
      <w:tr>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b/>
                <w:bCs/>
                <w:sz w:val="19"/>
                <w:szCs w:val="19"/>
                <w:rFonts w:ascii="Arial" w:cs="Arial" w:eastAsia="Arial" w:hAnsi="Arial"/>
              </w:rPr>
              <w:t xml:space="preserve">Stallo in commissione parlamentare per emendamenti ostruzionistici</w:t>
            </w:r>
            <w:r>
              <w:rPr>
                <w:sz w:val="19"/>
                <w:szCs w:val="19"/>
                <w:rFonts w:ascii="Arial" w:cs="Arial" w:eastAsia="Arial" w:hAnsi="Arial"/>
              </w:rPr>
              <w:t xml:space="preserve"> — opposizioni (PD, M5S) e minoritari della coalizione rallentano il testo</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Media</w:t>
            </w:r>
          </w:p>
        </w:tc>
        <w:tc>
          <w:tcPr>
            <w:tcW w:type="dxa" w:w="2409"/>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Medio</w:t>
            </w:r>
          </w:p>
        </w:tc>
        <w:tc>
          <w:tcPr>
            <w:tcW w:type="dxa" w:w="2411"/>
            <w:tcBorders>
              <w:top w:val="single" w:color="D0D0D0" w:sz="4"/>
              <w:left w:val="single" w:color="D0D0D0" w:sz="4"/>
              <w:bottom w:val="single" w:color="D0D0D0" w:sz="4"/>
              <w:right w:val="single" w:color="D0D0D0" w:sz="4"/>
            </w:tcBorders>
            <w:shd w:fill="FFFFFF" w:val="clear"/>
            <w:tcMar>
              <w:top w:type="dxa" w:w="80"/>
              <w:left w:type="dxa" w:w="100"/>
              <w:bottom w:type="dxa" w:w="80"/>
              <w:right w:type="dxa" w:w="100"/>
            </w:tcMar>
          </w:tcPr>
          <w:p>
            <w:pPr>
              <w:spacing w:after="0" w:line="264"/>
              <w:jc w:val="left"/>
            </w:pPr>
            <w:r>
              <w:rPr>
                <w:sz w:val="19"/>
                <w:szCs w:val="19"/>
                <w:rFonts w:ascii="Arial" w:cs="Arial" w:eastAsia="Arial" w:hAnsi="Arial"/>
              </w:rPr>
              <w:t xml:space="preserve">Coinvolgere preventivamente esperti bipartisan; sfruttare la procedura in sede legislativa (commissione deliberante) per le parti tecniche non controverse; prevedere un testo "minimo" alternativo con soli 6 anni come posizione di compromesso</w:t>
            </w:r>
          </w:p>
        </w:tc>
      </w:tr>
    </w:tbl>
    <w:p>
      <w:pPr>
        <w:spacing w:after="80" w:line="240"/>
        <w:jc w:val="left"/>
      </w:pPr>
      <w:r>
        <w:rPr>
          <w:sz w:val="22"/>
          <w:szCs w:val="22"/>
          <w:rFonts w:ascii="Arial" w:cs="Arial" w:eastAsia="Arial" w:hAnsi="Arial"/>
        </w:rPr>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 Prossimi Passi Immediati (entro 30 giorni)</w:t>
      </w:r>
    </w:p>
    <w:p>
      <w:pPr>
        <w:pStyle w:val="ListParagraph"/>
        <w:numPr>
          <w:ilvl w:val="0"/>
          <w:numId w:val="2"/>
        </w:numPr>
        <w:spacing w:after="100" w:line="276"/>
        <w:ind w:left="720" w:hanging="360"/>
        <w:jc w:val="left"/>
      </w:pPr>
      <w:r>
        <w:rPr>
          <w:b/>
          <w:bCs/>
          <w:sz w:val="22"/>
          <w:szCs w:val="22"/>
          <w:rFonts w:ascii="Arial" w:cs="Arial" w:eastAsia="Arial" w:hAnsi="Arial"/>
        </w:rPr>
        <w:t xml:space="preserve">Commissioning dell'analisi giuridica di compatibilità UE</w:t>
      </w:r>
      <w:r>
        <w:rPr>
          <w:sz w:val="22"/>
          <w:szCs w:val="22"/>
          <w:rFonts w:ascii="Arial" w:cs="Arial" w:eastAsia="Arial" w:hAnsi="Arial"/>
        </w:rPr>
        <w:t xml:space="preserve"> (entro il 19 maggio 2026): Incarico a uno studio legale specializzato in diritto della proprietà intellettuale e diritto UE farmaceutico per un parere scritto sulla configurabilità del meccanismo come diritto </w:t>
      </w:r>
      <w:r>
        <w:rPr>
          <w:i/>
          <w:iCs/>
          <w:sz w:val="22"/>
          <w:szCs w:val="22"/>
          <w:rFonts w:ascii="Arial" w:cs="Arial" w:eastAsia="Arial" w:hAnsi="Arial"/>
        </w:rPr>
        <w:t xml:space="preserve">sui generis</w:t>
      </w:r>
      <w:r>
        <w:rPr>
          <w:sz w:val="22"/>
          <w:szCs w:val="22"/>
          <w:rFonts w:ascii="Arial" w:cs="Arial" w:eastAsia="Arial" w:hAnsi="Arial"/>
        </w:rPr>
        <w:t xml:space="preserve"> distinto dal SPC ai sensi del Reg. 469/2009, art. 13. Target: Bonelli Erede, Trevisan &amp; Cuonzo, Bird &amp; Bird Roma.</w:t>
      </w:r>
    </w:p>
    <w:p>
      <w:pPr>
        <w:pStyle w:val="ListParagraph"/>
        <w:numPr>
          <w:ilvl w:val="0"/>
          <w:numId w:val="2"/>
        </w:numPr>
        <w:spacing w:after="100" w:line="276"/>
        <w:ind w:left="720" w:hanging="360"/>
        <w:jc w:val="left"/>
      </w:pPr>
      <w:r>
        <w:rPr>
          <w:b/>
          <w:bCs/>
          <w:sz w:val="22"/>
          <w:szCs w:val="22"/>
          <w:rFonts w:ascii="Arial" w:cs="Arial" w:eastAsia="Arial" w:hAnsi="Arial"/>
        </w:rPr>
        <w:t xml:space="preserve">Richiesta di dati AIFA sui tempi di istruttoria AIC</w:t>
      </w:r>
      <w:r>
        <w:rPr>
          <w:sz w:val="22"/>
          <w:szCs w:val="22"/>
          <w:rFonts w:ascii="Arial" w:cs="Arial" w:eastAsia="Arial" w:hAnsi="Arial"/>
        </w:rPr>
        <w:t xml:space="preserve"> (entro il 19 maggio 2026): Istanza formale di accesso agli atti (L. 241/1990) o canale informale tramite Farmindustria verso AIFA (Presidente Robert Giovanni Nisticò; Direttore Tecnico-Scientifico Pierluigi Russo) per ottenere il dataset aggregato dei tempi medi di procedura AIC per procedure nazionali negli ultimi 10 anni, con indicazione delle procedure con ritardi &gt; 24 mesi.</w:t>
      </w:r>
    </w:p>
    <w:p>
      <w:pPr>
        <w:pStyle w:val="ListParagraph"/>
        <w:numPr>
          <w:ilvl w:val="0"/>
          <w:numId w:val="2"/>
        </w:numPr>
        <w:spacing w:after="100" w:line="276"/>
        <w:ind w:left="720" w:hanging="360"/>
        <w:jc w:val="left"/>
      </w:pPr>
      <w:r>
        <w:rPr>
          <w:b/>
          <w:bCs/>
          <w:sz w:val="22"/>
          <w:szCs w:val="22"/>
          <w:rFonts w:ascii="Arial" w:cs="Arial" w:eastAsia="Arial" w:hAnsi="Arial"/>
        </w:rPr>
        <w:t xml:space="preserve">Attivazione del canale Farmindustria–MIMIT</w:t>
      </w:r>
      <w:r>
        <w:rPr>
          <w:sz w:val="22"/>
          <w:szCs w:val="22"/>
          <w:rFonts w:ascii="Arial" w:cs="Arial" w:eastAsia="Arial" w:hAnsi="Arial"/>
        </w:rPr>
        <w:t xml:space="preserve"> (entro il 26 maggio 2026): Incontro formale tra Marcello Cattani (Presidente Farmindustria) e il Gabinetto del Ministro Adolfo Urso per presentare il dossier preliminare e ottenere un segnale di apertura informale all'avvio dell'iter. Citare il discorso di Urso a Farmindustria (aprile 2026) sulla competitività con USA e Cina come base narrativa.</w:t>
      </w:r>
    </w:p>
    <w:p>
      <w:pPr>
        <w:pStyle w:val="ListParagraph"/>
        <w:numPr>
          <w:ilvl w:val="0"/>
          <w:numId w:val="2"/>
        </w:numPr>
        <w:spacing w:after="100" w:line="276"/>
        <w:ind w:left="720" w:hanging="360"/>
        <w:jc w:val="left"/>
      </w:pPr>
      <w:r>
        <w:rPr>
          <w:b/>
          <w:bCs/>
          <w:sz w:val="22"/>
          <w:szCs w:val="22"/>
          <w:rFonts w:ascii="Arial" w:cs="Arial" w:eastAsia="Arial" w:hAnsi="Arial"/>
        </w:rPr>
        <w:t xml:space="preserve">Preparazione del position paper tecnico</w:t>
      </w:r>
      <w:r>
        <w:rPr>
          <w:sz w:val="22"/>
          <w:szCs w:val="22"/>
          <w:rFonts w:ascii="Arial" w:cs="Arial" w:eastAsia="Arial" w:hAnsi="Arial"/>
        </w:rPr>
        <w:t xml:space="preserve"> (entro il 2 giugno 2026): Redazione di un position paper strutturato (6–7 pagine, numerato, in italiano formale) che articoli: (a) il problema (dati AIFA); (b) la soluzione (meccanismo di ripristino per ritardi &gt; 24 mesi); (c) il precedente USA; (d) la compatibilità con il diritto UE; (e) l'impatto economico stimato sul SSN. Da distribuire al MIMIT, alla XII e X Commissione della Camera, e ai gruppi parlamentari di FdI e Lega.</w:t>
      </w:r>
    </w:p>
    <w:p>
      <w:pPr>
        <w:pStyle w:val="ListParagraph"/>
        <w:numPr>
          <w:ilvl w:val="0"/>
          <w:numId w:val="2"/>
        </w:numPr>
        <w:spacing w:after="100" w:line="276"/>
        <w:ind w:left="720" w:hanging="360"/>
        <w:jc w:val="left"/>
      </w:pPr>
      <w:r>
        <w:rPr>
          <w:b/>
          <w:bCs/>
          <w:sz w:val="22"/>
          <w:szCs w:val="22"/>
          <w:rFonts w:ascii="Arial" w:cs="Arial" w:eastAsia="Arial" w:hAnsi="Arial"/>
        </w:rPr>
        <w:t xml:space="preserve">Mappatura dei relatori parlamentari</w:t>
      </w:r>
      <w:r>
        <w:rPr>
          <w:sz w:val="22"/>
          <w:szCs w:val="22"/>
          <w:rFonts w:ascii="Arial" w:cs="Arial" w:eastAsia="Arial" w:hAnsi="Arial"/>
        </w:rPr>
        <w:t xml:space="preserve"> (entro il 9 giugno 2026): Identificazione, tramite il sito parlamento.it, dei componenti delle XII Commissione Affari Sociali (Camera) e della 12ª Commissione Igiene e Sanità (Senato) più sensibili ai temi di innovazione farmaceutica e proprietà intellettuale, per individuare il parlamentare da designare come futuro relatore del DDL. Priorità ai parlamentari della XII Commissione con background sanitario o industriale.</w:t>
      </w:r>
    </w:p>
    <w:p>
      <w:pPr>
        <w:pStyle w:val="ListParagraph"/>
        <w:numPr>
          <w:ilvl w:val="0"/>
          <w:numId w:val="2"/>
        </w:numPr>
        <w:spacing w:after="100" w:line="276"/>
        <w:ind w:left="720" w:hanging="360"/>
        <w:jc w:val="left"/>
      </w:pPr>
      <w:r>
        <w:rPr>
          <w:b/>
          <w:bCs/>
          <w:sz w:val="22"/>
          <w:szCs w:val="22"/>
          <w:rFonts w:ascii="Arial" w:cs="Arial" w:eastAsia="Arial" w:hAnsi="Arial"/>
        </w:rPr>
        <w:t xml:space="preserve">Avvio del coordinamento europeo</w:t>
      </w:r>
      <w:r>
        <w:rPr>
          <w:sz w:val="22"/>
          <w:szCs w:val="22"/>
          <w:rFonts w:ascii="Arial" w:cs="Arial" w:eastAsia="Arial" w:hAnsi="Arial"/>
        </w:rPr>
        <w:t xml:space="preserve"> (entro il 16 giugno 2026): Contatto con Farmindustria Europa (EFPIA) e con l'Ufficio di Rappresentanza Permanente italiana a Bruxelles per verificare lo stato del trilogo sulla proposta di Regolamento SPC unitario (proposta Commissione del 27 aprile 2023) e le possibilità di inserire nella posizione italiana al Consiglio UE una richiesta di innalzamento del tetto massimo a 7 anni per i casi di ritardo regolatorio nazionale documentato.</w:t>
      </w:r>
    </w:p>
    <w:p>
      <w:pPr>
        <w:pBdr>
          <w:bottom w:val="single" w:color="D0D0D0" w:sz="4" w:space="2"/>
        </w:pBdr>
        <w:spacing w:after="100"/>
        <w:jc w:val="left"/>
      </w:pPr>
      <w:r>
        <w:rPr>
          <w:sz w:val="22"/>
          <w:szCs w:val="22"/>
          <w:rFonts w:ascii="Arial" w:cs="Arial" w:eastAsia="Arial" w:hAnsi="Arial"/>
        </w:rPr>
      </w:r>
    </w:p>
    <w:p>
      <w:pPr>
        <w:pStyle w:val="Heading2"/>
        <w:spacing w:before="200" w:after="100"/>
        <w:jc w:val="left"/>
      </w:pPr>
      <w:r>
        <w:rPr>
          <w:b/>
          <w:bCs/>
          <w:color w:val="1B2B4B"/>
          <w:sz w:val="26"/>
          <w:szCs w:val="26"/>
          <w:rFonts w:ascii="Arial" w:cs="Arial" w:eastAsia="Arial" w:hAnsi="Arial"/>
        </w:rPr>
        <w:t xml:space="preserve">📚 Fonti e Documenti Rilevanti</w:t>
      </w:r>
    </w:p>
    <w:p>
      <w:pPr>
        <w:pStyle w:val="ListParagraph"/>
        <w:numPr>
          <w:ilvl w:val="0"/>
          <w:numId w:val="3"/>
        </w:numPr>
        <w:spacing w:after="100" w:line="276"/>
        <w:ind w:left="720" w:hanging="360"/>
        <w:jc w:val="left"/>
      </w:pPr>
      <w:r>
        <w:rPr>
          <w:b/>
          <w:bCs/>
          <w:sz w:val="22"/>
          <w:szCs w:val="22"/>
          <w:rFonts w:ascii="Arial" w:cs="Arial" w:eastAsia="Arial" w:hAnsi="Arial"/>
        </w:rPr>
        <w:t xml:space="preserve">D.Lgs. 10 febbraio 2005, n. 30</w:t>
      </w:r>
      <w:r>
        <w:rPr>
          <w:sz w:val="22"/>
          <w:szCs w:val="22"/>
          <w:rFonts w:ascii="Arial" w:cs="Arial" w:eastAsia="Arial" w:hAnsi="Arial"/>
        </w:rPr>
        <w:t xml:space="preserve"> — Codice della Proprietà Industriale (testo consolidato con modifiche della L. 24 luglio 2023, n. 102): </w:t>
      </w:r>
      <w:hyperlink w:history="1" r:id="rIdu1yhxc1tjddozdgupxrta">
        <w:r>
          <w:rPr>
            <w:u w:val="single" w:color="1155CC"/>
            <w:color w:val="1155CC"/>
            <w:sz w:val="22"/>
            <w:szCs w:val="22"/>
            <w:rFonts w:ascii="Arial" w:cs="Arial" w:eastAsia="Arial" w:hAnsi="Arial"/>
          </w:rPr>
          <w:t xml:space="preserve">normattiva.it</w:t>
        </w:r>
      </w:hyperlink>
    </w:p>
    <w:p>
      <w:pPr>
        <w:pStyle w:val="ListParagraph"/>
        <w:numPr>
          <w:ilvl w:val="0"/>
          <w:numId w:val="3"/>
        </w:numPr>
        <w:spacing w:after="100" w:line="276"/>
        <w:ind w:left="720" w:hanging="360"/>
        <w:jc w:val="left"/>
      </w:pPr>
      <w:r>
        <w:rPr>
          <w:b/>
          <w:bCs/>
          <w:sz w:val="22"/>
          <w:szCs w:val="22"/>
          <w:rFonts w:ascii="Arial" w:cs="Arial" w:eastAsia="Arial" w:hAnsi="Arial"/>
        </w:rPr>
        <w:t xml:space="preserve">L. 24 luglio 2023, n. 102</w:t>
      </w:r>
      <w:r>
        <w:rPr>
          <w:sz w:val="22"/>
          <w:szCs w:val="22"/>
          <w:rFonts w:ascii="Arial" w:cs="Arial" w:eastAsia="Arial" w:hAnsi="Arial"/>
        </w:rPr>
        <w:t xml:space="preserve"> — Riforma del CPI (Milestone PNRR, Missione 1, Componente 2): pubblicata nella Gazzetta Ufficiale n. 184 dell'8 agosto 2023, entrata in vigore il 23 agosto 2023. Fonte: </w:t>
      </w:r>
      <w:hyperlink w:history="1" r:id="rIdthwjj2t988legcndcwno6">
        <w:r>
          <w:rPr>
            <w:u w:val="single" w:color="1155CC"/>
            <w:color w:val="1155CC"/>
            <w:sz w:val="22"/>
            <w:szCs w:val="22"/>
            <w:rFonts w:ascii="Arial" w:cs="Arial" w:eastAsia="Arial" w:hAnsi="Arial"/>
          </w:rPr>
          <w:t xml:space="preserve">uibm.mise.gov.it</w:t>
        </w:r>
      </w:hyperlink>
    </w:p>
    <w:p>
      <w:pPr>
        <w:pStyle w:val="ListParagraph"/>
        <w:numPr>
          <w:ilvl w:val="0"/>
          <w:numId w:val="3"/>
        </w:numPr>
        <w:spacing w:after="100" w:line="276"/>
        <w:ind w:left="720" w:hanging="360"/>
        <w:jc w:val="left"/>
      </w:pPr>
      <w:r>
        <w:rPr>
          <w:b/>
          <w:bCs/>
          <w:sz w:val="22"/>
          <w:szCs w:val="22"/>
          <w:rFonts w:ascii="Arial" w:cs="Arial" w:eastAsia="Arial" w:hAnsi="Arial"/>
        </w:rPr>
        <w:t xml:space="preserve">Regolamento (CE) n. 469/2009</w:t>
      </w:r>
      <w:r>
        <w:rPr>
          <w:sz w:val="22"/>
          <w:szCs w:val="22"/>
          <w:rFonts w:ascii="Arial" w:cs="Arial" w:eastAsia="Arial" w:hAnsi="Arial"/>
        </w:rPr>
        <w:t xml:space="preserve"> del Parlamento europeo e del Consiglio, del 6 maggio 2009, sul certificato protettivo complementare per i medicinali: </w:t>
      </w:r>
      <w:hyperlink w:history="1" r:id="rId53foe3f7kkvjmilxrtevh">
        <w:r>
          <w:rPr>
            <w:u w:val="single" w:color="1155CC"/>
            <w:color w:val="1155CC"/>
            <w:sz w:val="22"/>
            <w:szCs w:val="22"/>
            <w:rFonts w:ascii="Arial" w:cs="Arial" w:eastAsia="Arial" w:hAnsi="Arial"/>
          </w:rPr>
          <w:t xml:space="preserve">EUR-Lex</w:t>
        </w:r>
      </w:hyperlink>
    </w:p>
    <w:p>
      <w:pPr>
        <w:pStyle w:val="ListParagraph"/>
        <w:numPr>
          <w:ilvl w:val="0"/>
          <w:numId w:val="3"/>
        </w:numPr>
        <w:spacing w:after="100" w:line="276"/>
        <w:ind w:left="720" w:hanging="360"/>
        <w:jc w:val="left"/>
      </w:pPr>
      <w:r>
        <w:rPr>
          <w:b/>
          <w:bCs/>
          <w:sz w:val="22"/>
          <w:szCs w:val="22"/>
          <w:rFonts w:ascii="Arial" w:cs="Arial" w:eastAsia="Arial" w:hAnsi="Arial"/>
        </w:rPr>
        <w:t xml:space="preserve">Proposta di Regolamento SPC unitario</w:t>
      </w:r>
      <w:r>
        <w:rPr>
          <w:sz w:val="22"/>
          <w:szCs w:val="22"/>
          <w:rFonts w:ascii="Arial" w:cs="Arial" w:eastAsia="Arial" w:hAnsi="Arial"/>
        </w:rPr>
        <w:t xml:space="preserve"> — Commissione europea, 27 aprile 2023 (in iter di trilogo): </w:t>
      </w:r>
      <w:hyperlink w:history="1" r:id="rIdtkhmoetbxawh9x0cj3jl6">
        <w:r>
          <w:rPr>
            <w:u w:val="single" w:color="1155CC"/>
            <w:color w:val="1155CC"/>
            <w:sz w:val="22"/>
            <w:szCs w:val="22"/>
            <w:rFonts w:ascii="Arial" w:cs="Arial" w:eastAsia="Arial" w:hAnsi="Arial"/>
          </w:rPr>
          <w:t xml:space="preserve">EUR-Lex, proposta COM/2023/231</w:t>
        </w:r>
      </w:hyperlink>
    </w:p>
    <w:p>
      <w:pPr>
        <w:pStyle w:val="ListParagraph"/>
        <w:numPr>
          <w:ilvl w:val="0"/>
          <w:numId w:val="3"/>
        </w:numPr>
        <w:spacing w:after="100" w:line="276"/>
        <w:ind w:left="720" w:hanging="360"/>
        <w:jc w:val="left"/>
      </w:pPr>
      <w:r>
        <w:rPr>
          <w:b/>
          <w:bCs/>
          <w:sz w:val="22"/>
          <w:szCs w:val="22"/>
          <w:rFonts w:ascii="Arial" w:cs="Arial" w:eastAsia="Arial" w:hAnsi="Arial"/>
        </w:rPr>
        <w:t xml:space="preserve">Report attività brevettuali MIMIT 2025</w:t>
      </w:r>
      <w:r>
        <w:rPr>
          <w:sz w:val="22"/>
          <w:szCs w:val="22"/>
          <w:rFonts w:ascii="Arial" w:cs="Arial" w:eastAsia="Arial" w:hAnsi="Arial"/>
        </w:rPr>
        <w:t xml:space="preserve"> — redatto dalla Direzione Generale per la Proprietà Industriale (UIBM) del MIMIT; segnala 11.996 domande di brevetto per invenzione industriale (+18,2% rispetto al 2024) e 24 certificati complementari di protezione per medicinali e fitosanitari concessi. Fonte: </w:t>
      </w:r>
      <w:hyperlink w:history="1" r:id="rIdkq18u1gk5a3bixvd4a6xt">
        <w:r>
          <w:rPr>
            <w:u w:val="single" w:color="1155CC"/>
            <w:color w:val="1155CC"/>
            <w:sz w:val="22"/>
            <w:szCs w:val="22"/>
            <w:rFonts w:ascii="Arial" w:cs="Arial" w:eastAsia="Arial" w:hAnsi="Arial"/>
          </w:rPr>
          <w:t xml:space="preserve">mimit.gov.it</w:t>
        </w:r>
      </w:hyperlink>
    </w:p>
    <w:p>
      <w:pPr>
        <w:pStyle w:val="ListParagraph"/>
        <w:numPr>
          <w:ilvl w:val="0"/>
          <w:numId w:val="3"/>
        </w:numPr>
        <w:spacing w:after="100" w:line="276"/>
        <w:ind w:left="720" w:hanging="360"/>
        <w:jc w:val="left"/>
      </w:pPr>
      <w:r>
        <w:rPr>
          <w:b/>
          <w:bCs/>
          <w:sz w:val="22"/>
          <w:szCs w:val="22"/>
          <w:rFonts w:ascii="Arial" w:cs="Arial" w:eastAsia="Arial" w:hAnsi="Arial"/>
        </w:rPr>
        <w:t xml:space="preserve">UIBM — Certificato di Protezione Complementare</w:t>
      </w:r>
      <w:r>
        <w:rPr>
          <w:sz w:val="22"/>
          <w:szCs w:val="22"/>
          <w:rFonts w:ascii="Arial" w:cs="Arial" w:eastAsia="Arial" w:hAnsi="Arial"/>
        </w:rPr>
        <w:t xml:space="preserve">: Il CPC permette di prolungare la durata di un brevetto relativo a un prodotto medicinale con lo scopo di recuperare il tempo assorbito dalla procedura autorizzativa per l'immissione in commercio, che richiede valutazioni da parte di AIFA o EMA sulla base di studi pre-clinici, clinici ed esami chimico-tossicologici. Fonte: </w:t>
      </w:r>
      <w:hyperlink w:history="1" r:id="rIdy4kyfwlv3fwrurvzpbdmt">
        <w:r>
          <w:rPr>
            <w:u w:val="single" w:color="1155CC"/>
            <w:color w:val="1155CC"/>
            <w:sz w:val="22"/>
            <w:szCs w:val="22"/>
            <w:rFonts w:ascii="Arial" w:cs="Arial" w:eastAsia="Arial" w:hAnsi="Arial"/>
          </w:rPr>
          <w:t xml:space="preserve">uibm.mise.gov.it</w:t>
        </w:r>
      </w:hyperlink>
    </w:p>
    <w:p>
      <w:pPr>
        <w:pStyle w:val="ListParagraph"/>
        <w:numPr>
          <w:ilvl w:val="0"/>
          <w:numId w:val="3"/>
        </w:numPr>
        <w:spacing w:after="100" w:line="276"/>
        <w:ind w:left="720" w:hanging="360"/>
        <w:jc w:val="left"/>
      </w:pPr>
      <w:r>
        <w:rPr>
          <w:b/>
          <w:bCs/>
          <w:sz w:val="22"/>
          <w:szCs w:val="22"/>
          <w:rFonts w:ascii="Arial" w:cs="Arial" w:eastAsia="Arial" w:hAnsi="Arial"/>
        </w:rPr>
        <w:t xml:space="preserve">Dossier Camera dei Deputati ES032</w:t>
      </w:r>
      <w:r>
        <w:rPr>
          <w:sz w:val="22"/>
          <w:szCs w:val="22"/>
          <w:rFonts w:ascii="Arial" w:cs="Arial" w:eastAsia="Arial" w:hAnsi="Arial"/>
        </w:rPr>
        <w:t xml:space="preserve"> — Proposta di Regolamento SPC unitario, XIX Legislatura: </w:t>
      </w:r>
      <w:hyperlink w:history="1" r:id="rIdvyslz0gejrfrj_ljs3zma">
        <w:r>
          <w:rPr>
            <w:u w:val="single" w:color="1155CC"/>
            <w:color w:val="1155CC"/>
            <w:sz w:val="22"/>
            <w:szCs w:val="22"/>
            <w:rFonts w:ascii="Arial" w:cs="Arial" w:eastAsia="Arial" w:hAnsi="Arial"/>
          </w:rPr>
          <w:t xml:space="preserve">documenti.camera.it</w:t>
        </w:r>
      </w:hyperlink>
    </w:p>
    <w:p>
      <w:pPr>
        <w:pStyle w:val="ListParagraph"/>
        <w:numPr>
          <w:ilvl w:val="0"/>
          <w:numId w:val="3"/>
        </w:numPr>
        <w:spacing w:after="100" w:line="276"/>
        <w:ind w:left="720" w:hanging="360"/>
        <w:jc w:val="left"/>
      </w:pPr>
      <w:r>
        <w:rPr>
          <w:b/>
          <w:bCs/>
          <w:sz w:val="22"/>
          <w:szCs w:val="22"/>
          <w:rFonts w:ascii="Arial" w:cs="Arial" w:eastAsia="Arial" w:hAnsi="Arial"/>
        </w:rPr>
        <w:t xml:space="preserve">Sito AIFA</w:t>
      </w:r>
      <w:r>
        <w:rPr>
          <w:sz w:val="22"/>
          <w:szCs w:val="22"/>
          <w:rFonts w:ascii="Arial" w:cs="Arial" w:eastAsia="Arial" w:hAnsi="Arial"/>
        </w:rPr>
        <w:t xml:space="preserve"> per dati sui tempi di autorizzazione AIC: </w:t>
      </w:r>
      <w:hyperlink w:history="1" r:id="rId8-irryzx9bsoozohujlfe">
        <w:r>
          <w:rPr>
            <w:u w:val="single" w:color="1155CC"/>
            <w:color w:val="1155CC"/>
            <w:sz w:val="22"/>
            <w:szCs w:val="22"/>
            <w:rFonts w:ascii="Arial" w:cs="Arial" w:eastAsia="Arial" w:hAnsi="Arial"/>
          </w:rPr>
          <w:t xml:space="preserve">aifa.gov.it</w:t>
        </w:r>
      </w:hyperlink>
    </w:p>
    <w:p>
      <w:pPr>
        <w:pStyle w:val="ListParagraph"/>
        <w:numPr>
          <w:ilvl w:val="0"/>
          <w:numId w:val="3"/>
        </w:numPr>
        <w:spacing w:after="100" w:line="276"/>
        <w:ind w:left="720" w:hanging="360"/>
        <w:jc w:val="left"/>
      </w:pPr>
      <w:r>
        <w:rPr>
          <w:b/>
          <w:bCs/>
          <w:sz w:val="22"/>
          <w:szCs w:val="22"/>
          <w:rFonts w:ascii="Arial" w:cs="Arial" w:eastAsia="Arial" w:hAnsi="Arial"/>
        </w:rPr>
        <w:t xml:space="preserve">Parlamento.it</w:t>
      </w:r>
      <w:r>
        <w:rPr>
          <w:sz w:val="22"/>
          <w:szCs w:val="22"/>
          <w:rFonts w:ascii="Arial" w:cs="Arial" w:eastAsia="Arial" w:hAnsi="Arial"/>
        </w:rPr>
        <w:t xml:space="preserve"> — Composizione commissioni parlamentari XIX Legislatura: </w:t>
      </w:r>
      <w:hyperlink w:history="1" r:id="rId6x_7nhi9ipr5a0lchx4d0">
        <w:r>
          <w:rPr>
            <w:u w:val="single" w:color="1155CC"/>
            <w:color w:val="1155CC"/>
            <w:sz w:val="22"/>
            <w:szCs w:val="22"/>
            <w:rFonts w:ascii="Arial" w:cs="Arial" w:eastAsia="Arial" w:hAnsi="Arial"/>
          </w:rPr>
          <w:t xml:space="preserve">parlamento.it</w:t>
        </w:r>
      </w:hyperlink>
    </w:p>
    <w:p>
      <w:pPr>
        <w:pBdr>
          <w:bottom w:val="single" w:color="D0D0D0" w:sz="4" w:space="2"/>
        </w:pBdr>
        <w:spacing w:after="100"/>
        <w:jc w:val="left"/>
      </w:pPr>
      <w:r>
        <w:rPr>
          <w:sz w:val="22"/>
          <w:szCs w:val="22"/>
          <w:rFonts w:ascii="Arial" w:cs="Arial" w:eastAsia="Arial" w:hAnsi="Arial"/>
        </w:rPr>
      </w:r>
    </w:p>
    <w:p>
      <w:pPr>
        <w:spacing w:after="140" w:line="276"/>
        <w:jc w:val="left"/>
      </w:pPr>
      <w:r>
        <w:rPr>
          <w:sz w:val="22"/>
          <w:szCs w:val="22"/>
          <w:rFonts w:ascii="Arial" w:cs="Arial" w:eastAsia="Arial" w:hAnsi="Arial"/>
        </w:rPr>
        <w:t xml:space="preserve">⚠️ </w:t>
      </w:r>
      <w:r>
        <w:rPr>
          <w:b/>
          <w:bCs/>
          <w:sz w:val="22"/>
          <w:szCs w:val="22"/>
          <w:rFonts w:ascii="Arial" w:cs="Arial" w:eastAsia="Arial" w:hAnsi="Arial"/>
        </w:rPr>
        <w:t xml:space="preserve">RELAZIONE GENERATA DA IA — AVVERTENZA</w:t>
      </w:r>
    </w:p>
    <w:p>
      <w:pPr>
        <w:spacing w:after="140" w:line="276"/>
        <w:jc w:val="left"/>
      </w:pPr>
      <w:r>
        <w:rPr>
          <w:sz w:val="22"/>
          <w:szCs w:val="22"/>
          <w:rFonts w:ascii="Arial" w:cs="Arial" w:eastAsia="Arial" w:hAnsi="Arial"/>
        </w:rPr>
        <w:t xml:space="preserve">Questa mappa del percorso legislativo è stata prodotta dall'intelligenza artificiale. È intesa esclusivamente come strumento di ricerca strategica. Tutte le informazioni legislative, procedurali e politiche devono essere verificate in modo indipendente prima dell'utilizzo in contesti professionali o di advocacy.</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0D0" w:sz="6" w:space="4"/>
      </w:pBdr>
      <w:jc w:val="right"/>
    </w:pPr>
    <w:r>
      <w:rPr>
        <w:color w:val="888888"/>
        <w:sz w:val="18"/>
        <w:szCs w:val="18"/>
        <w:rFonts w:ascii="Arial" w:cs="Arial" w:eastAsia="Arial" w:hAnsi="Arial"/>
      </w:rPr>
      <w:t xml:space="preserve">Page </w:t>
    </w:r>
    <w:r>
      <w:rPr>
        <w:color w:val="888888"/>
        <w:sz w:val="18"/>
        <w:szCs w:val="18"/>
        <w:rFonts w:ascii="Arial" w:cs="Arial" w:eastAsia="Arial" w:hAnsi="Arial"/>
      </w:rPr>
      <w:fldChar w:fldCharType="begin"/>
      <w:instrText xml:space="preserve">PAGE</w:instrText>
      <w:fldChar w:fldCharType="separate"/>
      <w:fldChar w:fldCharType="end"/>
    </w:r>
    <w:r>
      <w:rPr>
        <w:color w:val="888888"/>
        <w:sz w:val="18"/>
        <w:szCs w:val="18"/>
        <w:rFonts w:ascii="Arial" w:cs="Arial" w:eastAsia="Arial" w:hAnsi="Arial"/>
      </w:rPr>
      <w:t xml:space="preserve"> of </w:t>
    </w:r>
    <w:r>
      <w:rPr>
        <w:color w:val="888888"/>
        <w:sz w:val="18"/>
        <w:szCs w:val="18"/>
        <w:rFonts w:ascii="Arial" w:cs="Arial" w:eastAsia="Arial" w:hAnsi="Arial"/>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D0D0" w:sz="6" w:space="4"/>
      </w:pBdr>
      <w:spacing w:after="0"/>
      <w:jc w:val="left"/>
    </w:pPr>
    <w:r>
      <w:rPr>
        <w:color w:val="888888"/>
        <w:sz w:val="18"/>
        <w:szCs w:val="18"/>
        <w:rFonts w:ascii="Arial" w:cs="Arial" w:eastAsia="Arial" w:hAnsi="Arial"/>
      </w:rPr>
      <w:t xml:space="preserve">Mappa del Percorso Legislativo: Estensione del Periodo di Ripristino Brevettuale Farmaceutico da 5 a 7 Anni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rial" w:cs="Arial" w:eastAsia="Arial" w:hAnsi="Arial"/>
      </w:rPr>
    </w:rPrDefault>
    <w:pPrDefault>
      <w:pPr>
        <w:jc w:val="left"/>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ListParagraph">
    <w:name w:val="List Paragraph"/>
    <w:basedOn w:val="Normal"/>
    <w:next w:val="Normal"/>
    <w:qFormat/>
    <w:pPr>
      <w:ind w:left="0" w:right="0"/>
      <w:jc w:val="left"/>
    </w:pPr>
    <w:rPr>
      <w:sz w:val="22"/>
      <w:szCs w:val="22"/>
      <w:rFonts w:ascii="Arial" w:cs="Arial" w:eastAsia="Arial" w:hAnsi="Arial"/>
    </w:rPr>
  </w:style>
  <w:style w:type="paragraph" w:styleId="Heading1">
    <w:name w:val="Heading 1"/>
    <w:basedOn w:val="Normal"/>
    <w:next w:val="Normal"/>
    <w:qFormat/>
    <w:pPr>
      <w:spacing w:before="300" w:after="160"/>
      <w:jc w:val="left"/>
      <w:outlineLvl w:val="0"/>
    </w:pPr>
    <w:rPr>
      <w:b/>
      <w:bCs/>
      <w:color w:val="1B2B4B"/>
      <w:sz w:val="36"/>
      <w:szCs w:val="36"/>
      <w:rFonts w:ascii="Arial" w:cs="Arial" w:eastAsia="Arial" w:hAnsi="Arial"/>
    </w:rPr>
  </w:style>
  <w:style w:type="paragraph" w:styleId="Heading2">
    <w:name w:val="Heading 2"/>
    <w:basedOn w:val="Normal"/>
    <w:next w:val="Normal"/>
    <w:qFormat/>
    <w:pPr>
      <w:spacing w:before="200" w:after="100"/>
      <w:jc w:val="left"/>
      <w:outlineLvl w:val="1"/>
    </w:pPr>
    <w:rPr>
      <w:b/>
      <w:bCs/>
      <w:color w:val="1B2B4B"/>
      <w:sz w:val="26"/>
      <w:szCs w:val="26"/>
      <w:rFonts w:ascii="Arial" w:cs="Arial" w:eastAsia="Arial" w:hAnsi="Arial"/>
    </w:rPr>
  </w:style>
  <w:style w:type="paragraph" w:styleId="Heading3">
    <w:name w:val="Heading 3"/>
    <w:basedOn w:val="Normal"/>
    <w:next w:val="Normal"/>
    <w:qFormat/>
    <w:pPr>
      <w:spacing w:before="160" w:after="80"/>
      <w:jc w:val="left"/>
      <w:outlineLvl w:val="2"/>
    </w:pPr>
    <w:rPr>
      <w:b/>
      <w:bCs/>
      <w:color w:val="1B2B4B"/>
      <w:sz w:val="23"/>
      <w:szCs w:val="23"/>
      <w:rFonts w:ascii="Arial" w:cs="Arial" w:eastAsia="Arial" w:hAnsi="Arial"/>
    </w:rPr>
  </w:style>
  <w:style w:type="paragraph" w:default="1" w:styleId="Normal">
    <w:name w:val="Normal"/>
    <w:pPr>
      <w:jc w:val="left"/>
    </w:pPr>
    <w:rPr>
      <w:lang w:val="en-US"/>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u1yhxc1tjddozdgupxrta" Type="http://schemas.openxmlformats.org/officeDocument/2006/relationships/hyperlink" Target="https://www.normattiva.it/uri-res/N2Ls?urn%3Anir%3Astato%3Adecreto.legislativo%3A2005-02-10%3B30=" TargetMode="External"/><Relationship Id="rIdthwjj2t988legcndcwno6" Type="http://schemas.openxmlformats.org/officeDocument/2006/relationships/hyperlink" Target="https://uibm.mise.gov.it/index.php/it/approvato-il-disegno-di-legge-di-riforma-del-codice-della-proprieta-industriale" TargetMode="External"/><Relationship Id="rId53foe3f7kkvjmilxrtevh" Type="http://schemas.openxmlformats.org/officeDocument/2006/relationships/hyperlink" Target="https://eur-lex.europa.eu/IT/legal-content/summary/supplementary-protection-certificates-for-medicines-and-plant-protection-products.html" TargetMode="External"/><Relationship Id="rIdtkhmoetbxawh9x0cj3jl6" Type="http://schemas.openxmlformats.org/officeDocument/2006/relationships/hyperlink" Target="https://eur-lex.europa.eu" TargetMode="External"/><Relationship Id="rIdkq18u1gk5a3bixvd4a6xt" Type="http://schemas.openxmlformats.org/officeDocument/2006/relationships/hyperlink" Target="https://www.mimit.gov.it/it/notizie-stampa/mimit-report-brevetti-18-2-nel-2025" TargetMode="External"/><Relationship Id="rIdy4kyfwlv3fwrurvzpbdmt" Type="http://schemas.openxmlformats.org/officeDocument/2006/relationships/hyperlink" Target="https://uibm.mise.gov.it/index.php/it/brevetti/certificato-di-protezione-complementare" TargetMode="External"/><Relationship Id="rIdvyslz0gejrfrj_ljs3zma" Type="http://schemas.openxmlformats.org/officeDocument/2006/relationships/hyperlink" Target="https://documenti.camera.it/leg19/dossier/pdf/ES032.pdf" TargetMode="External"/><Relationship Id="rId8-irryzx9bsoozohujlfe" Type="http://schemas.openxmlformats.org/officeDocument/2006/relationships/hyperlink" Target="https://www.aifa.gov.it" TargetMode="External"/><Relationship Id="rId6x_7nhi9ipr5a0lchx4d0" Type="http://schemas.openxmlformats.org/officeDocument/2006/relationships/hyperlink" Target="https://www.parlamento.it" TargetMode="Externa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2026-04-19T11:59:26.717Z</dcterms:created>
  <dcterms:modified xsi:type="dcterms:W3CDTF">2026-04-19T11:59:26.717Z</dcterms:modified>
</cp:coreProperties>
</file>

<file path=docProps/custom.xml><?xml version="1.0" encoding="utf-8"?>
<Properties xmlns="http://schemas.openxmlformats.org/officeDocument/2006/custom-properties" xmlns:vt="http://schemas.openxmlformats.org/officeDocument/2006/docPropsVTypes"/>
</file>