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12" w:type="dxa"/>
        <w:tblBorders>
          <w:top w:val="single" w:sz="16" w:space="0" w:color="F7941D"/>
          <w:left w:val="single" w:sz="16" w:space="0" w:color="F7941D"/>
          <w:bottom w:val="single" w:sz="16" w:space="0" w:color="F7941D"/>
          <w:right w:val="single" w:sz="16" w:space="0" w:color="F7941D"/>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12"/>
      </w:tblGrid>
      <w:tr w:rsidR="002B05AF" w14:paraId="008C91A0" w14:textId="77777777">
        <w:tblPrEx>
          <w:tblCellMar>
            <w:top w:w="0" w:type="dxa"/>
            <w:bottom w:w="0" w:type="dxa"/>
          </w:tblCellMar>
        </w:tblPrEx>
        <w:tc>
          <w:tcPr>
            <w:tcW w:w="9412" w:type="dxa"/>
            <w:shd w:val="clear" w:color="auto" w:fill="1A2E52"/>
            <w:tcMar>
              <w:top w:w="340" w:type="dxa"/>
              <w:left w:w="453" w:type="dxa"/>
              <w:bottom w:w="340" w:type="dxa"/>
              <w:right w:w="453" w:type="dxa"/>
            </w:tcMar>
          </w:tcPr>
          <w:p w14:paraId="7618A173" w14:textId="77777777" w:rsidR="002B05AF" w:rsidRDefault="00000000">
            <w:pPr>
              <w:spacing w:after="80"/>
            </w:pPr>
            <w:r>
              <w:rPr>
                <w:b/>
                <w:bCs/>
                <w:color w:val="F7941D"/>
                <w:sz w:val="18"/>
                <w:szCs w:val="18"/>
              </w:rPr>
              <w:t>POLICY MONITORING REPORT</w:t>
            </w:r>
          </w:p>
          <w:p w14:paraId="29F6B5AF" w14:textId="77777777" w:rsidR="002B05AF" w:rsidRDefault="00000000">
            <w:pPr>
              <w:spacing w:after="40"/>
            </w:pPr>
            <w:r>
              <w:rPr>
                <w:b/>
                <w:bCs/>
                <w:color w:val="FFFFFF"/>
                <w:sz w:val="40"/>
                <w:szCs w:val="40"/>
              </w:rPr>
              <w:t>Policy Director, Intel Corporation</w:t>
            </w:r>
          </w:p>
          <w:p w14:paraId="78A4CC9E" w14:textId="77777777" w:rsidR="002B05AF" w:rsidRDefault="00000000">
            <w:pPr>
              <w:spacing w:after="80"/>
            </w:pPr>
            <w:r>
              <w:rPr>
                <w:color w:val="CCD6E8"/>
                <w:sz w:val="22"/>
                <w:szCs w:val="22"/>
              </w:rPr>
              <w:t>Data Privacy</w:t>
            </w:r>
          </w:p>
          <w:p w14:paraId="654AC5A1" w14:textId="77777777" w:rsidR="002B05AF" w:rsidRDefault="00000000">
            <w:r>
              <w:rPr>
                <w:color w:val="AABBCC"/>
                <w:sz w:val="18"/>
                <w:szCs w:val="18"/>
              </w:rPr>
              <w:t>Jurisdiction: United States   |   Issued: June 2025   |   Initiatives tracked: 5</w:t>
            </w:r>
          </w:p>
        </w:tc>
      </w:tr>
    </w:tbl>
    <w:p w14:paraId="2BBB5C53" w14:textId="77777777" w:rsidR="002B05AF" w:rsidRDefault="002B05AF">
      <w:pPr>
        <w:spacing w:before="160"/>
      </w:pPr>
    </w:p>
    <w:tbl>
      <w:tblPr>
        <w:tblW w:w="9412" w:type="dxa"/>
        <w:tblBorders>
          <w:top w:val="single" w:sz="4" w:space="0" w:color="D0D5DD"/>
          <w:left w:val="single" w:sz="4" w:space="0" w:color="D0D5DD"/>
          <w:bottom w:val="single" w:sz="4" w:space="0" w:color="D0D5DD"/>
          <w:right w:val="single" w:sz="4" w:space="0" w:color="D0D5DD"/>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53"/>
        <w:gridCol w:w="2353"/>
        <w:gridCol w:w="2353"/>
        <w:gridCol w:w="2353"/>
      </w:tblGrid>
      <w:tr w:rsidR="002B05AF" w14:paraId="1F0B3816" w14:textId="77777777">
        <w:tblPrEx>
          <w:tblCellMar>
            <w:top w:w="0" w:type="dxa"/>
            <w:bottom w:w="0" w:type="dxa"/>
          </w:tblCellMar>
        </w:tblPrEx>
        <w:tc>
          <w:tcPr>
            <w:tcW w:w="2353" w:type="dxa"/>
            <w:shd w:val="clear" w:color="auto" w:fill="FEF2F2"/>
            <w:tcMar>
              <w:top w:w="113" w:type="dxa"/>
              <w:left w:w="113" w:type="dxa"/>
              <w:bottom w:w="113" w:type="dxa"/>
              <w:right w:w="113" w:type="dxa"/>
            </w:tcMar>
          </w:tcPr>
          <w:p w14:paraId="4DD1B4A5" w14:textId="77777777" w:rsidR="002B05AF" w:rsidRDefault="00000000">
            <w:pPr>
              <w:spacing w:before="40"/>
              <w:jc w:val="center"/>
            </w:pPr>
            <w:r>
              <w:rPr>
                <w:b/>
                <w:bCs/>
                <w:color w:val="9B1C1C"/>
                <w:sz w:val="48"/>
                <w:szCs w:val="48"/>
              </w:rPr>
              <w:t>3</w:t>
            </w:r>
          </w:p>
          <w:p w14:paraId="010BF0C7" w14:textId="77777777" w:rsidR="002B05AF" w:rsidRDefault="00000000">
            <w:pPr>
              <w:spacing w:after="40"/>
              <w:jc w:val="center"/>
            </w:pPr>
            <w:r>
              <w:rPr>
                <w:b/>
                <w:bCs/>
                <w:color w:val="9B1C1C"/>
                <w:sz w:val="16"/>
                <w:szCs w:val="16"/>
              </w:rPr>
              <w:t>HIGH PRIORITY</w:t>
            </w:r>
          </w:p>
        </w:tc>
        <w:tc>
          <w:tcPr>
            <w:tcW w:w="2353" w:type="dxa"/>
            <w:shd w:val="clear" w:color="auto" w:fill="FFF7ED"/>
            <w:tcMar>
              <w:top w:w="113" w:type="dxa"/>
              <w:left w:w="113" w:type="dxa"/>
              <w:bottom w:w="113" w:type="dxa"/>
              <w:right w:w="113" w:type="dxa"/>
            </w:tcMar>
          </w:tcPr>
          <w:p w14:paraId="4220C162" w14:textId="77777777" w:rsidR="002B05AF" w:rsidRDefault="00000000">
            <w:pPr>
              <w:spacing w:before="40"/>
              <w:jc w:val="center"/>
            </w:pPr>
            <w:r>
              <w:rPr>
                <w:b/>
                <w:bCs/>
                <w:color w:val="924E00"/>
                <w:sz w:val="48"/>
                <w:szCs w:val="48"/>
              </w:rPr>
              <w:t>2</w:t>
            </w:r>
          </w:p>
          <w:p w14:paraId="7DA7A431" w14:textId="77777777" w:rsidR="002B05AF" w:rsidRDefault="00000000">
            <w:pPr>
              <w:spacing w:after="40"/>
              <w:jc w:val="center"/>
            </w:pPr>
            <w:r>
              <w:rPr>
                <w:b/>
                <w:bCs/>
                <w:color w:val="924E00"/>
                <w:sz w:val="16"/>
                <w:szCs w:val="16"/>
              </w:rPr>
              <w:t>MONITORING</w:t>
            </w:r>
          </w:p>
        </w:tc>
        <w:tc>
          <w:tcPr>
            <w:tcW w:w="2353" w:type="dxa"/>
            <w:shd w:val="clear" w:color="auto" w:fill="F0FDF4"/>
            <w:tcMar>
              <w:top w:w="113" w:type="dxa"/>
              <w:left w:w="113" w:type="dxa"/>
              <w:bottom w:w="113" w:type="dxa"/>
              <w:right w:w="113" w:type="dxa"/>
            </w:tcMar>
          </w:tcPr>
          <w:p w14:paraId="2352DE12" w14:textId="77777777" w:rsidR="002B05AF" w:rsidRDefault="00000000">
            <w:pPr>
              <w:spacing w:before="40"/>
              <w:jc w:val="center"/>
            </w:pPr>
            <w:r>
              <w:rPr>
                <w:b/>
                <w:bCs/>
                <w:color w:val="145E30"/>
                <w:sz w:val="48"/>
                <w:szCs w:val="48"/>
              </w:rPr>
              <w:t>0</w:t>
            </w:r>
          </w:p>
          <w:p w14:paraId="3D1E0C2A" w14:textId="77777777" w:rsidR="002B05AF" w:rsidRDefault="00000000">
            <w:pPr>
              <w:spacing w:after="40"/>
              <w:jc w:val="center"/>
            </w:pPr>
            <w:r>
              <w:rPr>
                <w:b/>
                <w:bCs/>
                <w:color w:val="145E30"/>
                <w:sz w:val="16"/>
                <w:szCs w:val="16"/>
              </w:rPr>
              <w:t>WATCHING</w:t>
            </w:r>
          </w:p>
        </w:tc>
        <w:tc>
          <w:tcPr>
            <w:tcW w:w="2353" w:type="dxa"/>
            <w:shd w:val="clear" w:color="auto" w:fill="EEF2F8"/>
            <w:tcMar>
              <w:top w:w="113" w:type="dxa"/>
              <w:left w:w="113" w:type="dxa"/>
              <w:bottom w:w="113" w:type="dxa"/>
              <w:right w:w="113" w:type="dxa"/>
            </w:tcMar>
          </w:tcPr>
          <w:p w14:paraId="44C586DE" w14:textId="77777777" w:rsidR="002B05AF" w:rsidRDefault="00000000">
            <w:pPr>
              <w:spacing w:before="40"/>
              <w:jc w:val="center"/>
            </w:pPr>
            <w:r>
              <w:rPr>
                <w:b/>
                <w:bCs/>
                <w:color w:val="1A2E52"/>
                <w:sz w:val="48"/>
                <w:szCs w:val="48"/>
              </w:rPr>
              <w:t>5</w:t>
            </w:r>
          </w:p>
          <w:p w14:paraId="68D3C3CB" w14:textId="77777777" w:rsidR="002B05AF" w:rsidRDefault="00000000">
            <w:pPr>
              <w:spacing w:after="40"/>
              <w:jc w:val="center"/>
            </w:pPr>
            <w:r>
              <w:rPr>
                <w:b/>
                <w:bCs/>
                <w:color w:val="1A2E52"/>
                <w:sz w:val="16"/>
                <w:szCs w:val="16"/>
              </w:rPr>
              <w:t>TOTAL INITIATIVES</w:t>
            </w:r>
          </w:p>
        </w:tc>
      </w:tr>
    </w:tbl>
    <w:p w14:paraId="0C7368B4" w14:textId="77777777" w:rsidR="002B05AF" w:rsidRDefault="002B05AF">
      <w:pPr>
        <w:spacing w:before="200"/>
      </w:pPr>
    </w:p>
    <w:p w14:paraId="42848A85" w14:textId="77777777" w:rsidR="002B05AF" w:rsidRDefault="00000000">
      <w:pPr>
        <w:pBdr>
          <w:bottom w:val="single" w:sz="12" w:space="0" w:color="F7941D"/>
        </w:pBdr>
        <w:spacing w:before="280" w:after="120"/>
      </w:pPr>
      <w:proofErr w:type="spellStart"/>
      <w:r>
        <w:rPr>
          <w:b/>
          <w:bCs/>
          <w:color w:val="1A2E52"/>
          <w:sz w:val="30"/>
          <w:szCs w:val="30"/>
        </w:rPr>
        <w:t>Organisation</w:t>
      </w:r>
      <w:proofErr w:type="spellEnd"/>
      <w:r>
        <w:rPr>
          <w:b/>
          <w:bCs/>
          <w:color w:val="1A2E52"/>
          <w:sz w:val="30"/>
          <w:szCs w:val="30"/>
        </w:rPr>
        <w:t xml:space="preserve"> Profile</w:t>
      </w:r>
    </w:p>
    <w:p w14:paraId="71C2F4F1" w14:textId="77777777" w:rsidR="002B05AF" w:rsidRDefault="00000000">
      <w:pPr>
        <w:pStyle w:val="ListParagraph"/>
        <w:numPr>
          <w:ilvl w:val="0"/>
          <w:numId w:val="1"/>
        </w:numPr>
        <w:spacing w:before="20" w:after="60"/>
      </w:pPr>
      <w:r>
        <w:rPr>
          <w:color w:val="222222"/>
        </w:rPr>
        <w:t xml:space="preserve">**Federal legislative </w:t>
      </w:r>
      <w:proofErr w:type="gramStart"/>
      <w:r>
        <w:rPr>
          <w:color w:val="222222"/>
        </w:rPr>
        <w:t>engagement:*</w:t>
      </w:r>
      <w:proofErr w:type="gramEnd"/>
      <w:r>
        <w:rPr>
          <w:color w:val="222222"/>
        </w:rPr>
        <w:t>* Intel actively advocates for a unified federal privacy framework to replace the patchwork of state laws, reducing compliance complexity and enabling consistent data practices across its hardware, software, and AI product lines.</w:t>
      </w:r>
    </w:p>
    <w:p w14:paraId="5F3BBF94" w14:textId="77777777" w:rsidR="002B05AF" w:rsidRDefault="00000000">
      <w:pPr>
        <w:pStyle w:val="ListParagraph"/>
        <w:numPr>
          <w:ilvl w:val="0"/>
          <w:numId w:val="1"/>
        </w:numPr>
        <w:spacing w:before="20" w:after="60"/>
      </w:pPr>
      <w:r>
        <w:rPr>
          <w:color w:val="222222"/>
        </w:rPr>
        <w:t xml:space="preserve">**AI &amp; edge computing </w:t>
      </w:r>
      <w:proofErr w:type="gramStart"/>
      <w:r>
        <w:rPr>
          <w:color w:val="222222"/>
        </w:rPr>
        <w:t>policy:*</w:t>
      </w:r>
      <w:proofErr w:type="gramEnd"/>
      <w:r>
        <w:rPr>
          <w:color w:val="222222"/>
        </w:rPr>
        <w:t xml:space="preserve">* Intel has a material interest in how privacy rules intersect with AI training, on-device data processing, and semiconductor design — particularly as regulators increasingly target data </w:t>
      </w:r>
      <w:proofErr w:type="spellStart"/>
      <w:r>
        <w:rPr>
          <w:color w:val="222222"/>
        </w:rPr>
        <w:t>minimisation</w:t>
      </w:r>
      <w:proofErr w:type="spellEnd"/>
      <w:r>
        <w:rPr>
          <w:color w:val="222222"/>
        </w:rPr>
        <w:t xml:space="preserve"> and purpose limitation in AI pipelines.</w:t>
      </w:r>
    </w:p>
    <w:p w14:paraId="12317EB0" w14:textId="77777777" w:rsidR="002B05AF" w:rsidRDefault="00000000">
      <w:pPr>
        <w:pStyle w:val="ListParagraph"/>
        <w:numPr>
          <w:ilvl w:val="0"/>
          <w:numId w:val="1"/>
        </w:numPr>
        <w:spacing w:before="20" w:after="60"/>
      </w:pPr>
      <w:r>
        <w:rPr>
          <w:color w:val="222222"/>
        </w:rPr>
        <w:t xml:space="preserve">**Supply chain &amp; cross-border data </w:t>
      </w:r>
      <w:proofErr w:type="gramStart"/>
      <w:r>
        <w:rPr>
          <w:color w:val="222222"/>
        </w:rPr>
        <w:t>flows:*</w:t>
      </w:r>
      <w:proofErr w:type="gramEnd"/>
      <w:r>
        <w:rPr>
          <w:color w:val="222222"/>
        </w:rPr>
        <w:t xml:space="preserve">* Intel's global manufacturing and R&amp;D footprint means that U.S. data </w:t>
      </w:r>
      <w:proofErr w:type="spellStart"/>
      <w:r>
        <w:rPr>
          <w:color w:val="222222"/>
        </w:rPr>
        <w:t>localisation</w:t>
      </w:r>
      <w:proofErr w:type="spellEnd"/>
      <w:r>
        <w:rPr>
          <w:color w:val="222222"/>
        </w:rPr>
        <w:t xml:space="preserve"> proposals or restrictions on international data transfers directly affect operational efficiency.</w:t>
      </w:r>
    </w:p>
    <w:p w14:paraId="0FD5EB53" w14:textId="77777777" w:rsidR="002B05AF" w:rsidRDefault="00000000">
      <w:pPr>
        <w:pStyle w:val="ListParagraph"/>
        <w:numPr>
          <w:ilvl w:val="0"/>
          <w:numId w:val="1"/>
        </w:numPr>
        <w:spacing w:before="20" w:after="60"/>
      </w:pPr>
      <w:r>
        <w:rPr>
          <w:color w:val="222222"/>
        </w:rPr>
        <w:t xml:space="preserve">**Consumer trust &amp; </w:t>
      </w:r>
      <w:proofErr w:type="gramStart"/>
      <w:r>
        <w:rPr>
          <w:color w:val="222222"/>
        </w:rPr>
        <w:t>transparency:*</w:t>
      </w:r>
      <w:proofErr w:type="gramEnd"/>
      <w:r>
        <w:rPr>
          <w:color w:val="222222"/>
        </w:rPr>
        <w:t xml:space="preserve">* Intel publicly supports privacy-by-design principles and has embedded privacy engineering into its product development lifecycle, giving the company a genuine stake in workable technical standards and regulatory safe </w:t>
      </w:r>
      <w:proofErr w:type="spellStart"/>
      <w:r>
        <w:rPr>
          <w:color w:val="222222"/>
        </w:rPr>
        <w:t>harbours</w:t>
      </w:r>
      <w:proofErr w:type="spellEnd"/>
      <w:r>
        <w:rPr>
          <w:color w:val="222222"/>
        </w:rPr>
        <w:t>.</w:t>
      </w:r>
    </w:p>
    <w:p w14:paraId="1CB18A46" w14:textId="77777777" w:rsidR="002B05AF" w:rsidRDefault="00000000">
      <w:pPr>
        <w:pStyle w:val="ListParagraph"/>
        <w:numPr>
          <w:ilvl w:val="0"/>
          <w:numId w:val="1"/>
        </w:numPr>
        <w:spacing w:before="20" w:after="60"/>
      </w:pPr>
      <w:r>
        <w:rPr>
          <w:color w:val="222222"/>
        </w:rPr>
        <w:t xml:space="preserve">**State law proliferation </w:t>
      </w:r>
      <w:proofErr w:type="gramStart"/>
      <w:r>
        <w:rPr>
          <w:color w:val="222222"/>
        </w:rPr>
        <w:t>risk:*</w:t>
      </w:r>
      <w:proofErr w:type="gramEnd"/>
      <w:r>
        <w:rPr>
          <w:color w:val="222222"/>
        </w:rPr>
        <w:t>* With 20+ state privacy laws now in force, Intel faces compounding compliance obligations; it has strong incentives to advocate for federal pre-emption as a cost and risk management priority.</w:t>
      </w:r>
    </w:p>
    <w:p w14:paraId="62125EF8" w14:textId="77777777" w:rsidR="002B05AF" w:rsidRDefault="00000000">
      <w:pPr>
        <w:pStyle w:val="ListParagraph"/>
        <w:numPr>
          <w:ilvl w:val="0"/>
          <w:numId w:val="1"/>
        </w:numPr>
        <w:spacing w:before="20" w:after="60"/>
      </w:pPr>
      <w:r>
        <w:rPr>
          <w:color w:val="222222"/>
        </w:rPr>
        <w:t>TOP LEGISLATIVE DEVELOPMENTS</w:t>
      </w:r>
    </w:p>
    <w:p w14:paraId="75D22B21" w14:textId="77777777" w:rsidR="002B05AF" w:rsidRDefault="00000000">
      <w:pPr>
        <w:pStyle w:val="ListParagraph"/>
        <w:numPr>
          <w:ilvl w:val="0"/>
          <w:numId w:val="1"/>
        </w:numPr>
        <w:spacing w:before="20" w:after="60"/>
      </w:pPr>
      <w:r>
        <w:rPr>
          <w:color w:val="222222"/>
        </w:rPr>
        <w:t>━━━━━━━━━━━━━━━━━━━━━━━━━━━━━━━━━━━</w:t>
      </w:r>
    </w:p>
    <w:p w14:paraId="1ACD856E" w14:textId="77777777" w:rsidR="002B05AF" w:rsidRDefault="002B05AF">
      <w:pPr>
        <w:spacing w:before="160"/>
      </w:pPr>
    </w:p>
    <w:p w14:paraId="59848AED" w14:textId="77777777" w:rsidR="002B05AF" w:rsidRDefault="00000000">
      <w:pPr>
        <w:pBdr>
          <w:bottom w:val="single" w:sz="12" w:space="0" w:color="F7941D"/>
        </w:pBdr>
        <w:spacing w:before="280" w:after="120"/>
      </w:pPr>
      <w:r>
        <w:rPr>
          <w:b/>
          <w:bCs/>
          <w:color w:val="1A2E52"/>
          <w:sz w:val="30"/>
          <w:szCs w:val="30"/>
        </w:rPr>
        <w:t>Priority Legislative Developments</w:t>
      </w:r>
    </w:p>
    <w:p w14:paraId="4CD28841" w14:textId="77777777" w:rsidR="002B05AF" w:rsidRDefault="002B05AF">
      <w:pPr>
        <w:spacing w:before="80"/>
      </w:pPr>
    </w:p>
    <w:tbl>
      <w:tblPr>
        <w:tblW w:w="396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968"/>
      </w:tblGrid>
      <w:tr w:rsidR="002B05AF" w14:paraId="04271A2E" w14:textId="77777777">
        <w:tblPrEx>
          <w:tblCellMar>
            <w:top w:w="0" w:type="dxa"/>
            <w:bottom w:w="0" w:type="dxa"/>
          </w:tblCellMar>
        </w:tblPrEx>
        <w:tc>
          <w:tcPr>
            <w:tcW w:w="3968" w:type="dxa"/>
            <w:shd w:val="clear" w:color="auto" w:fill="FEF2F2"/>
            <w:tcMar>
              <w:top w:w="56" w:type="dxa"/>
              <w:left w:w="113" w:type="dxa"/>
              <w:bottom w:w="56" w:type="dxa"/>
              <w:right w:w="113" w:type="dxa"/>
            </w:tcMar>
            <w:vAlign w:val="center"/>
          </w:tcPr>
          <w:p w14:paraId="43C1FD81" w14:textId="77777777" w:rsidR="002B05AF" w:rsidRDefault="00000000">
            <w:r>
              <w:rPr>
                <w:b/>
                <w:bCs/>
                <w:color w:val="9B1C1C"/>
                <w:sz w:val="17"/>
                <w:szCs w:val="17"/>
              </w:rPr>
              <w:t>INITIATIVE 1 — PRIORITY: HIGH</w:t>
            </w:r>
          </w:p>
        </w:tc>
      </w:tr>
    </w:tbl>
    <w:p w14:paraId="6B2401CB" w14:textId="77777777" w:rsidR="002B05AF" w:rsidRDefault="002B05AF">
      <w:pPr>
        <w:spacing w:before="40"/>
      </w:pPr>
    </w:p>
    <w:p w14:paraId="5F65B398" w14:textId="77777777" w:rsidR="002B05AF" w:rsidRDefault="00000000">
      <w:pPr>
        <w:spacing w:before="180" w:after="80"/>
      </w:pPr>
      <w:r>
        <w:rPr>
          <w:b/>
          <w:bCs/>
          <w:color w:val="1A2E52"/>
          <w:sz w:val="25"/>
          <w:szCs w:val="25"/>
        </w:rPr>
        <w:t>** American Privacy Rights Act (APRA) — 2025 Reintroduction</w:t>
      </w:r>
    </w:p>
    <w:tbl>
      <w:tblPr>
        <w:tblW w:w="9412" w:type="dxa"/>
        <w:tblBorders>
          <w:top w:val="single" w:sz="4" w:space="0" w:color="D0D5DD"/>
          <w:left w:val="single" w:sz="4" w:space="0" w:color="D0D5DD"/>
          <w:bottom w:val="single" w:sz="4" w:space="0" w:color="D0D5DD"/>
          <w:right w:val="single" w:sz="4" w:space="0" w:color="D0D5DD"/>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612"/>
      </w:tblGrid>
      <w:tr w:rsidR="002B05AF" w14:paraId="6D088A56" w14:textId="77777777">
        <w:tblPrEx>
          <w:tblCellMar>
            <w:top w:w="0" w:type="dxa"/>
            <w:bottom w:w="0" w:type="dxa"/>
          </w:tblCellMar>
        </w:tblPrEx>
        <w:tc>
          <w:tcPr>
            <w:tcW w:w="2800" w:type="dxa"/>
            <w:shd w:val="clear" w:color="auto" w:fill="1A2E52"/>
            <w:tcMar>
              <w:top w:w="56" w:type="dxa"/>
              <w:left w:w="113" w:type="dxa"/>
              <w:bottom w:w="56" w:type="dxa"/>
              <w:right w:w="113" w:type="dxa"/>
            </w:tcMar>
          </w:tcPr>
          <w:p w14:paraId="5BA7A8F5" w14:textId="77777777" w:rsidR="002B05AF" w:rsidRDefault="00000000">
            <w:r>
              <w:rPr>
                <w:b/>
                <w:bCs/>
                <w:color w:val="FFFFFF"/>
                <w:sz w:val="18"/>
                <w:szCs w:val="18"/>
              </w:rPr>
              <w:t>Type</w:t>
            </w:r>
          </w:p>
        </w:tc>
        <w:tc>
          <w:tcPr>
            <w:tcW w:w="6612" w:type="dxa"/>
            <w:shd w:val="clear" w:color="auto" w:fill="FFFFFF"/>
            <w:tcMar>
              <w:top w:w="56" w:type="dxa"/>
              <w:left w:w="113" w:type="dxa"/>
              <w:bottom w:w="56" w:type="dxa"/>
              <w:right w:w="113" w:type="dxa"/>
            </w:tcMar>
          </w:tcPr>
          <w:p w14:paraId="4A099792" w14:textId="77777777" w:rsidR="002B05AF" w:rsidRDefault="00000000">
            <w:r>
              <w:rPr>
                <w:color w:val="222222"/>
                <w:sz w:val="18"/>
                <w:szCs w:val="18"/>
              </w:rPr>
              <w:t>** Legislation (Federal Bill)</w:t>
            </w:r>
          </w:p>
        </w:tc>
      </w:tr>
      <w:tr w:rsidR="002B05AF" w14:paraId="44FAB1D8" w14:textId="77777777">
        <w:tblPrEx>
          <w:tblCellMar>
            <w:top w:w="0" w:type="dxa"/>
            <w:bottom w:w="0" w:type="dxa"/>
          </w:tblCellMar>
        </w:tblPrEx>
        <w:tc>
          <w:tcPr>
            <w:tcW w:w="2800" w:type="dxa"/>
            <w:shd w:val="clear" w:color="auto" w:fill="1A2E52"/>
            <w:tcMar>
              <w:top w:w="56" w:type="dxa"/>
              <w:left w:w="113" w:type="dxa"/>
              <w:bottom w:w="56" w:type="dxa"/>
              <w:right w:w="113" w:type="dxa"/>
            </w:tcMar>
          </w:tcPr>
          <w:p w14:paraId="7BAFFE53" w14:textId="77777777" w:rsidR="002B05AF" w:rsidRDefault="00000000">
            <w:r>
              <w:rPr>
                <w:b/>
                <w:bCs/>
                <w:color w:val="FFFFFF"/>
                <w:sz w:val="18"/>
                <w:szCs w:val="18"/>
              </w:rPr>
              <w:t>Lead Authority</w:t>
            </w:r>
          </w:p>
        </w:tc>
        <w:tc>
          <w:tcPr>
            <w:tcW w:w="6612" w:type="dxa"/>
            <w:shd w:val="clear" w:color="auto" w:fill="F4F6F9"/>
            <w:tcMar>
              <w:top w:w="56" w:type="dxa"/>
              <w:left w:w="113" w:type="dxa"/>
              <w:bottom w:w="56" w:type="dxa"/>
              <w:right w:w="113" w:type="dxa"/>
            </w:tcMar>
          </w:tcPr>
          <w:p w14:paraId="29BCA460" w14:textId="77777777" w:rsidR="002B05AF" w:rsidRDefault="00000000">
            <w:r>
              <w:rPr>
                <w:color w:val="222222"/>
                <w:sz w:val="18"/>
                <w:szCs w:val="18"/>
              </w:rPr>
              <w:t>** House Energy &amp; Commerce Committee; Senate Commerce Committee</w:t>
            </w:r>
          </w:p>
        </w:tc>
      </w:tr>
      <w:tr w:rsidR="002B05AF" w14:paraId="6E2633A2" w14:textId="77777777">
        <w:tblPrEx>
          <w:tblCellMar>
            <w:top w:w="0" w:type="dxa"/>
            <w:bottom w:w="0" w:type="dxa"/>
          </w:tblCellMar>
        </w:tblPrEx>
        <w:tc>
          <w:tcPr>
            <w:tcW w:w="2800" w:type="dxa"/>
            <w:shd w:val="clear" w:color="auto" w:fill="1A2E52"/>
            <w:tcMar>
              <w:top w:w="56" w:type="dxa"/>
              <w:left w:w="113" w:type="dxa"/>
              <w:bottom w:w="56" w:type="dxa"/>
              <w:right w:w="113" w:type="dxa"/>
            </w:tcMar>
          </w:tcPr>
          <w:p w14:paraId="6085836F" w14:textId="77777777" w:rsidR="002B05AF" w:rsidRDefault="00000000">
            <w:r>
              <w:rPr>
                <w:b/>
                <w:bCs/>
                <w:color w:val="FFFFFF"/>
                <w:sz w:val="18"/>
                <w:szCs w:val="18"/>
              </w:rPr>
              <w:t>Status</w:t>
            </w:r>
          </w:p>
        </w:tc>
        <w:tc>
          <w:tcPr>
            <w:tcW w:w="6612" w:type="dxa"/>
            <w:shd w:val="clear" w:color="auto" w:fill="FFFFFF"/>
            <w:tcMar>
              <w:top w:w="56" w:type="dxa"/>
              <w:left w:w="113" w:type="dxa"/>
              <w:bottom w:w="56" w:type="dxa"/>
              <w:right w:w="113" w:type="dxa"/>
            </w:tcMar>
          </w:tcPr>
          <w:p w14:paraId="7D101C9A" w14:textId="77777777" w:rsidR="002B05AF" w:rsidRDefault="00000000">
            <w:r>
              <w:rPr>
                <w:color w:val="222222"/>
                <w:sz w:val="18"/>
                <w:szCs w:val="18"/>
              </w:rPr>
              <w:t>** Reintroduced; under committee consideration</w:t>
            </w:r>
          </w:p>
        </w:tc>
      </w:tr>
      <w:tr w:rsidR="002B05AF" w14:paraId="5F96BA59" w14:textId="77777777">
        <w:tblPrEx>
          <w:tblCellMar>
            <w:top w:w="0" w:type="dxa"/>
            <w:bottom w:w="0" w:type="dxa"/>
          </w:tblCellMar>
        </w:tblPrEx>
        <w:tc>
          <w:tcPr>
            <w:tcW w:w="2800" w:type="dxa"/>
            <w:shd w:val="clear" w:color="auto" w:fill="1A2E52"/>
            <w:tcMar>
              <w:top w:w="56" w:type="dxa"/>
              <w:left w:w="113" w:type="dxa"/>
              <w:bottom w:w="56" w:type="dxa"/>
              <w:right w:w="113" w:type="dxa"/>
            </w:tcMar>
          </w:tcPr>
          <w:p w14:paraId="4A97B913" w14:textId="77777777" w:rsidR="002B05AF" w:rsidRDefault="00000000">
            <w:r>
              <w:rPr>
                <w:b/>
                <w:bCs/>
                <w:color w:val="FFFFFF"/>
                <w:sz w:val="18"/>
                <w:szCs w:val="18"/>
              </w:rPr>
              <w:t>Key Date</w:t>
            </w:r>
          </w:p>
        </w:tc>
        <w:tc>
          <w:tcPr>
            <w:tcW w:w="6612" w:type="dxa"/>
            <w:shd w:val="clear" w:color="auto" w:fill="F4F6F9"/>
            <w:tcMar>
              <w:top w:w="56" w:type="dxa"/>
              <w:left w:w="113" w:type="dxa"/>
              <w:bottom w:w="56" w:type="dxa"/>
              <w:right w:w="113" w:type="dxa"/>
            </w:tcMar>
          </w:tcPr>
          <w:p w14:paraId="39A3E50B" w14:textId="77777777" w:rsidR="002B05AF" w:rsidRDefault="00000000">
            <w:r>
              <w:rPr>
                <w:color w:val="222222"/>
                <w:sz w:val="18"/>
                <w:szCs w:val="18"/>
              </w:rPr>
              <w:t>** Reintroduced April 2025</w:t>
            </w:r>
          </w:p>
        </w:tc>
      </w:tr>
    </w:tbl>
    <w:p w14:paraId="3477E2FE" w14:textId="77777777" w:rsidR="002B05AF" w:rsidRDefault="002B05AF">
      <w:pPr>
        <w:spacing w:before="80"/>
      </w:pPr>
    </w:p>
    <w:p w14:paraId="764BEB02" w14:textId="77777777" w:rsidR="002B05AF" w:rsidRDefault="00000000">
      <w:pPr>
        <w:spacing w:before="80" w:after="40"/>
      </w:pPr>
      <w:r>
        <w:rPr>
          <w:b/>
          <w:bCs/>
          <w:color w:val="1A2E52"/>
          <w:sz w:val="21"/>
          <w:szCs w:val="21"/>
        </w:rPr>
        <w:t>What it does</w:t>
      </w:r>
    </w:p>
    <w:p w14:paraId="5983A988" w14:textId="77777777" w:rsidR="002B05AF" w:rsidRDefault="00000000">
      <w:pPr>
        <w:spacing w:before="40" w:after="80"/>
      </w:pPr>
      <w:r>
        <w:rPr>
          <w:color w:val="222222"/>
        </w:rPr>
        <w:t xml:space="preserve">The American Privacy Rights Act was reintroduced in the 119th Congress following its failure to advance in 2024. The bill establishes a national baseline for data privacy, including rights to access, correction, deletion, and data portability for consumers. It imposes data </w:t>
      </w:r>
      <w:proofErr w:type="spellStart"/>
      <w:r>
        <w:rPr>
          <w:color w:val="222222"/>
        </w:rPr>
        <w:t>minimisation</w:t>
      </w:r>
      <w:proofErr w:type="spellEnd"/>
      <w:r>
        <w:rPr>
          <w:color w:val="222222"/>
        </w:rPr>
        <w:t xml:space="preserve"> requirements — permitting companies to collect only data necessary for specified purposes — and introduces a private right of action </w:t>
      </w:r>
      <w:r>
        <w:rPr>
          <w:color w:val="222222"/>
        </w:rPr>
        <w:lastRenderedPageBreak/>
        <w:t>allowing individuals to sue companies for violations. The bill includes provisions specifically addressing algorithmic decision-making and automated systems. A key contested point remains the scope of pre-emption of state privacy laws and the strength of the private right of action.</w:t>
      </w:r>
    </w:p>
    <w:p w14:paraId="2B0B9F59" w14:textId="77777777" w:rsidR="002B05AF" w:rsidRDefault="00000000">
      <w:pPr>
        <w:spacing w:before="60" w:after="40"/>
      </w:pPr>
      <w:r>
        <w:rPr>
          <w:b/>
          <w:bCs/>
          <w:color w:val="1A2E52"/>
          <w:sz w:val="21"/>
          <w:szCs w:val="21"/>
        </w:rPr>
        <w:t>Relevance to objectives</w:t>
      </w:r>
    </w:p>
    <w:p w14:paraId="77ECE41B" w14:textId="77777777" w:rsidR="002B05AF" w:rsidRDefault="00000000">
      <w:pPr>
        <w:spacing w:before="40" w:after="80"/>
      </w:pPr>
      <w:r>
        <w:rPr>
          <w:color w:val="222222"/>
        </w:rPr>
        <w:t xml:space="preserve">A federal privacy law with strong pre-emption provisions is a core Intel advocacy objective, as it would replace 20+ state frameworks with a single compliance baseline. However, the private right of action and strict data </w:t>
      </w:r>
      <w:proofErr w:type="spellStart"/>
      <w:r>
        <w:rPr>
          <w:color w:val="222222"/>
        </w:rPr>
        <w:t>minimisation</w:t>
      </w:r>
      <w:proofErr w:type="spellEnd"/>
      <w:r>
        <w:rPr>
          <w:color w:val="222222"/>
        </w:rPr>
        <w:t xml:space="preserve"> rules could create litigation exposure and constrain Intel's AI training and edge-computing data practices.</w:t>
      </w:r>
    </w:p>
    <w:p w14:paraId="55F7EAA6" w14:textId="77777777" w:rsidR="002B05AF" w:rsidRDefault="00000000">
      <w:pPr>
        <w:spacing w:before="60" w:after="40"/>
      </w:pPr>
      <w:r>
        <w:rPr>
          <w:b/>
          <w:bCs/>
          <w:color w:val="1A2E52"/>
          <w:sz w:val="21"/>
          <w:szCs w:val="21"/>
        </w:rPr>
        <w:t>Why it matters</w:t>
      </w:r>
    </w:p>
    <w:p w14:paraId="22F1D279" w14:textId="77777777" w:rsidR="002B05AF" w:rsidRDefault="00000000">
      <w:pPr>
        <w:spacing w:before="40" w:after="80"/>
      </w:pPr>
      <w:r>
        <w:rPr>
          <w:color w:val="222222"/>
        </w:rPr>
        <w:t xml:space="preserve">APRA represents the most viable federal privacy legislative vehicle in years. Failure to shape its provisions now — particularly on pre-emption scope, technical standards safe </w:t>
      </w:r>
      <w:proofErr w:type="spellStart"/>
      <w:r>
        <w:rPr>
          <w:color w:val="222222"/>
        </w:rPr>
        <w:t>harbours</w:t>
      </w:r>
      <w:proofErr w:type="spellEnd"/>
      <w:r>
        <w:rPr>
          <w:color w:val="222222"/>
        </w:rPr>
        <w:t>, and B2B data carve-outs — means Intel would operate under whatever framework emerges without its input baked in.</w:t>
      </w:r>
    </w:p>
    <w:p w14:paraId="32244293" w14:textId="77777777" w:rsidR="002B05AF" w:rsidRDefault="00000000">
      <w:pPr>
        <w:spacing w:before="60" w:after="40"/>
      </w:pPr>
      <w:r>
        <w:rPr>
          <w:b/>
          <w:bCs/>
          <w:color w:val="1A2E52"/>
          <w:sz w:val="21"/>
          <w:szCs w:val="21"/>
        </w:rPr>
        <w:t>Implications</w:t>
      </w:r>
    </w:p>
    <w:p w14:paraId="341ADA58" w14:textId="77777777" w:rsidR="002B05AF" w:rsidRDefault="00000000">
      <w:pPr>
        <w:spacing w:before="40" w:after="80"/>
      </w:pPr>
      <w:r>
        <w:rPr>
          <w:color w:val="222222"/>
        </w:rPr>
        <w:t xml:space="preserve">The data </w:t>
      </w:r>
      <w:proofErr w:type="spellStart"/>
      <w:r>
        <w:rPr>
          <w:color w:val="222222"/>
        </w:rPr>
        <w:t>minimisation</w:t>
      </w:r>
      <w:proofErr w:type="spellEnd"/>
      <w:r>
        <w:rPr>
          <w:color w:val="222222"/>
        </w:rPr>
        <w:t xml:space="preserve"> and purpose limitation clauses directly affect how Intel's AI and analytics products handle telemetry and on-device data. Intel must secure workable definitions of "necessary" data processing and ensure hardware-level privacy features are </w:t>
      </w:r>
      <w:proofErr w:type="spellStart"/>
      <w:r>
        <w:rPr>
          <w:color w:val="222222"/>
        </w:rPr>
        <w:t>recognised</w:t>
      </w:r>
      <w:proofErr w:type="spellEnd"/>
      <w:r>
        <w:rPr>
          <w:color w:val="222222"/>
        </w:rPr>
        <w:t xml:space="preserve"> as compliance mechanisms.</w:t>
      </w:r>
    </w:p>
    <w:tbl>
      <w:tblPr>
        <w:tblW w:w="9412" w:type="dxa"/>
        <w:tblBorders>
          <w:top w:val="single" w:sz="16" w:space="0" w:color="F7941D"/>
          <w:left w:val="single" w:sz="16" w:space="0" w:color="F7941D"/>
          <w:bottom w:val="single" w:sz="4" w:space="0" w:color="EEEEEE"/>
          <w:right w:val="single" w:sz="4" w:space="0" w:color="EEEEEE"/>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12"/>
      </w:tblGrid>
      <w:tr w:rsidR="002B05AF" w14:paraId="4A823161" w14:textId="77777777">
        <w:tblPrEx>
          <w:tblCellMar>
            <w:top w:w="0" w:type="dxa"/>
            <w:bottom w:w="0" w:type="dxa"/>
          </w:tblCellMar>
        </w:tblPrEx>
        <w:tc>
          <w:tcPr>
            <w:tcW w:w="9412" w:type="dxa"/>
            <w:shd w:val="clear" w:color="auto" w:fill="FFF0CC"/>
            <w:tcMar>
              <w:top w:w="113" w:type="dxa"/>
              <w:left w:w="226" w:type="dxa"/>
              <w:bottom w:w="113" w:type="dxa"/>
              <w:right w:w="226" w:type="dxa"/>
            </w:tcMar>
          </w:tcPr>
          <w:p w14:paraId="05372CC0" w14:textId="77777777" w:rsidR="002B05AF" w:rsidRDefault="00000000">
            <w:pPr>
              <w:spacing w:after="60"/>
            </w:pPr>
            <w:r>
              <w:rPr>
                <w:b/>
                <w:bCs/>
                <w:color w:val="1A2E52"/>
              </w:rPr>
              <w:t xml:space="preserve">Recommended action: </w:t>
            </w:r>
          </w:p>
          <w:p w14:paraId="30BC7FDE" w14:textId="77777777" w:rsidR="002B05AF" w:rsidRDefault="00000000">
            <w:pPr>
              <w:spacing w:after="60"/>
            </w:pPr>
            <w:r>
              <w:rPr>
                <w:color w:val="1A2E52"/>
              </w:rPr>
              <w:t xml:space="preserve">▶ ENGAGE NOW — Submit formal comments to the House Energy &amp; Commerce Committee and engage directly on the private right of action scope and technical standards safe </w:t>
            </w:r>
            <w:proofErr w:type="spellStart"/>
            <w:r>
              <w:rPr>
                <w:color w:val="1A2E52"/>
              </w:rPr>
              <w:t>harbour</w:t>
            </w:r>
            <w:proofErr w:type="spellEnd"/>
            <w:r>
              <w:rPr>
                <w:color w:val="1A2E52"/>
              </w:rPr>
              <w:t xml:space="preserve"> provisions before markup.</w:t>
            </w:r>
          </w:p>
        </w:tc>
      </w:tr>
    </w:tbl>
    <w:p w14:paraId="7FAD25E2" w14:textId="77777777" w:rsidR="002B05AF" w:rsidRDefault="002B05AF">
      <w:pPr>
        <w:spacing w:before="60"/>
      </w:pPr>
    </w:p>
    <w:p w14:paraId="30935287" w14:textId="77777777" w:rsidR="002B05AF" w:rsidRDefault="00000000">
      <w:pPr>
        <w:spacing w:before="40" w:after="20"/>
      </w:pPr>
      <w:r>
        <w:rPr>
          <w:b/>
          <w:bCs/>
          <w:color w:val="777777"/>
          <w:sz w:val="18"/>
          <w:szCs w:val="18"/>
        </w:rPr>
        <w:t>Sources</w:t>
      </w:r>
    </w:p>
    <w:p w14:paraId="1ED1CF99" w14:textId="77777777" w:rsidR="002B05AF" w:rsidRDefault="00000000">
      <w:pPr>
        <w:spacing w:after="20"/>
      </w:pPr>
      <w:r>
        <w:rPr>
          <w:color w:val="444444"/>
          <w:sz w:val="18"/>
          <w:szCs w:val="18"/>
        </w:rPr>
        <w:t xml:space="preserve">• </w:t>
      </w:r>
      <w:hyperlink r:id="rId5" w:history="1">
        <w:r>
          <w:rPr>
            <w:color w:val="1A56A0"/>
            <w:sz w:val="18"/>
            <w:szCs w:val="18"/>
            <w:u w:val="single"/>
          </w:rPr>
          <w:t>House Energy &amp; Commerce Committee — American Privacy Rights Act — April 2025</w:t>
        </w:r>
      </w:hyperlink>
    </w:p>
    <w:p w14:paraId="7215F027" w14:textId="77777777" w:rsidR="002B05AF" w:rsidRDefault="00000000">
      <w:pPr>
        <w:spacing w:after="20"/>
      </w:pPr>
      <w:r>
        <w:rPr>
          <w:color w:val="444444"/>
          <w:sz w:val="18"/>
          <w:szCs w:val="18"/>
        </w:rPr>
        <w:t xml:space="preserve">• </w:t>
      </w:r>
      <w:hyperlink r:id="rId6" w:history="1">
        <w:r>
          <w:rPr>
            <w:color w:val="1A56A0"/>
            <w:sz w:val="18"/>
            <w:szCs w:val="18"/>
            <w:u w:val="single"/>
          </w:rPr>
          <w:t>IAPP — APRA 2025 Reintroduction Analysis — April 2025</w:t>
        </w:r>
      </w:hyperlink>
    </w:p>
    <w:p w14:paraId="4EAB04A0" w14:textId="77777777" w:rsidR="002B05AF" w:rsidRDefault="00000000">
      <w:pPr>
        <w:spacing w:after="20"/>
      </w:pPr>
      <w:r>
        <w:rPr>
          <w:color w:val="444444"/>
          <w:sz w:val="18"/>
          <w:szCs w:val="18"/>
        </w:rPr>
        <w:t xml:space="preserve">• </w:t>
      </w:r>
      <w:hyperlink r:id="rId7" w:history="1">
        <w:r>
          <w:rPr>
            <w:color w:val="1A56A0"/>
            <w:sz w:val="18"/>
            <w:szCs w:val="18"/>
            <w:u w:val="single"/>
          </w:rPr>
          <w:t>Congress.gov — APRA Bill Text and Status</w:t>
        </w:r>
      </w:hyperlink>
    </w:p>
    <w:p w14:paraId="11DD3CBA" w14:textId="77777777" w:rsidR="002B05AF" w:rsidRDefault="00000000">
      <w:pPr>
        <w:spacing w:after="20"/>
      </w:pPr>
      <w:r>
        <w:rPr>
          <w:color w:val="1A56A0"/>
          <w:sz w:val="18"/>
          <w:szCs w:val="18"/>
        </w:rPr>
        <w:t>• ━━━━━━━━━━━━━━━━━━━━━━━━━━━━━━━━━━━</w:t>
      </w:r>
    </w:p>
    <w:p w14:paraId="6F6F73CC" w14:textId="77777777" w:rsidR="002B05AF" w:rsidRDefault="002B05AF">
      <w:pPr>
        <w:spacing w:before="80"/>
      </w:pPr>
    </w:p>
    <w:p w14:paraId="21BA5D36" w14:textId="77777777" w:rsidR="002B05AF" w:rsidRDefault="002B05AF">
      <w:pPr>
        <w:pBdr>
          <w:bottom w:val="single" w:sz="4" w:space="0" w:color="E0E4EA"/>
        </w:pBdr>
      </w:pPr>
    </w:p>
    <w:p w14:paraId="05969D17" w14:textId="77777777" w:rsidR="002B05AF" w:rsidRDefault="002B05AF">
      <w:pPr>
        <w:spacing w:before="80"/>
      </w:pPr>
    </w:p>
    <w:tbl>
      <w:tblPr>
        <w:tblW w:w="396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968"/>
      </w:tblGrid>
      <w:tr w:rsidR="002B05AF" w14:paraId="0B4E2E9A" w14:textId="77777777">
        <w:tblPrEx>
          <w:tblCellMar>
            <w:top w:w="0" w:type="dxa"/>
            <w:bottom w:w="0" w:type="dxa"/>
          </w:tblCellMar>
        </w:tblPrEx>
        <w:tc>
          <w:tcPr>
            <w:tcW w:w="3968" w:type="dxa"/>
            <w:shd w:val="clear" w:color="auto" w:fill="FEF2F2"/>
            <w:tcMar>
              <w:top w:w="56" w:type="dxa"/>
              <w:left w:w="113" w:type="dxa"/>
              <w:bottom w:w="56" w:type="dxa"/>
              <w:right w:w="113" w:type="dxa"/>
            </w:tcMar>
            <w:vAlign w:val="center"/>
          </w:tcPr>
          <w:p w14:paraId="7E151EDE" w14:textId="77777777" w:rsidR="002B05AF" w:rsidRDefault="00000000">
            <w:r>
              <w:rPr>
                <w:b/>
                <w:bCs/>
                <w:color w:val="9B1C1C"/>
                <w:sz w:val="17"/>
                <w:szCs w:val="17"/>
              </w:rPr>
              <w:t>INITIATIVE 2 — PRIORITY: HIGH</w:t>
            </w:r>
          </w:p>
        </w:tc>
      </w:tr>
    </w:tbl>
    <w:p w14:paraId="515E787A" w14:textId="77777777" w:rsidR="002B05AF" w:rsidRDefault="002B05AF">
      <w:pPr>
        <w:spacing w:before="40"/>
      </w:pPr>
    </w:p>
    <w:p w14:paraId="3040B271" w14:textId="77777777" w:rsidR="002B05AF" w:rsidRDefault="00000000">
      <w:pPr>
        <w:spacing w:before="180" w:after="80"/>
      </w:pPr>
      <w:r>
        <w:rPr>
          <w:b/>
          <w:bCs/>
          <w:color w:val="1A2E52"/>
          <w:sz w:val="25"/>
          <w:szCs w:val="25"/>
        </w:rPr>
        <w:t>** FTC Commercial Surveillance Rulemaking — Status Under Trump Administration</w:t>
      </w:r>
    </w:p>
    <w:tbl>
      <w:tblPr>
        <w:tblW w:w="9412" w:type="dxa"/>
        <w:tblBorders>
          <w:top w:val="single" w:sz="4" w:space="0" w:color="D0D5DD"/>
          <w:left w:val="single" w:sz="4" w:space="0" w:color="D0D5DD"/>
          <w:bottom w:val="single" w:sz="4" w:space="0" w:color="D0D5DD"/>
          <w:right w:val="single" w:sz="4" w:space="0" w:color="D0D5DD"/>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612"/>
      </w:tblGrid>
      <w:tr w:rsidR="002B05AF" w14:paraId="60F7A184" w14:textId="77777777">
        <w:tblPrEx>
          <w:tblCellMar>
            <w:top w:w="0" w:type="dxa"/>
            <w:bottom w:w="0" w:type="dxa"/>
          </w:tblCellMar>
        </w:tblPrEx>
        <w:tc>
          <w:tcPr>
            <w:tcW w:w="2800" w:type="dxa"/>
            <w:shd w:val="clear" w:color="auto" w:fill="1A2E52"/>
            <w:tcMar>
              <w:top w:w="56" w:type="dxa"/>
              <w:left w:w="113" w:type="dxa"/>
              <w:bottom w:w="56" w:type="dxa"/>
              <w:right w:w="113" w:type="dxa"/>
            </w:tcMar>
          </w:tcPr>
          <w:p w14:paraId="3D0A75E3" w14:textId="77777777" w:rsidR="002B05AF" w:rsidRDefault="00000000">
            <w:r>
              <w:rPr>
                <w:b/>
                <w:bCs/>
                <w:color w:val="FFFFFF"/>
                <w:sz w:val="18"/>
                <w:szCs w:val="18"/>
              </w:rPr>
              <w:t>Type</w:t>
            </w:r>
          </w:p>
        </w:tc>
        <w:tc>
          <w:tcPr>
            <w:tcW w:w="6612" w:type="dxa"/>
            <w:shd w:val="clear" w:color="auto" w:fill="FFFFFF"/>
            <w:tcMar>
              <w:top w:w="56" w:type="dxa"/>
              <w:left w:w="113" w:type="dxa"/>
              <w:bottom w:w="56" w:type="dxa"/>
              <w:right w:w="113" w:type="dxa"/>
            </w:tcMar>
          </w:tcPr>
          <w:p w14:paraId="55596153" w14:textId="77777777" w:rsidR="002B05AF" w:rsidRDefault="00000000">
            <w:r>
              <w:rPr>
                <w:color w:val="222222"/>
                <w:sz w:val="18"/>
                <w:szCs w:val="18"/>
              </w:rPr>
              <w:t>** Regulation (Federal Rulemaking)</w:t>
            </w:r>
          </w:p>
        </w:tc>
      </w:tr>
      <w:tr w:rsidR="002B05AF" w14:paraId="575A3657" w14:textId="77777777">
        <w:tblPrEx>
          <w:tblCellMar>
            <w:top w:w="0" w:type="dxa"/>
            <w:bottom w:w="0" w:type="dxa"/>
          </w:tblCellMar>
        </w:tblPrEx>
        <w:tc>
          <w:tcPr>
            <w:tcW w:w="2800" w:type="dxa"/>
            <w:shd w:val="clear" w:color="auto" w:fill="1A2E52"/>
            <w:tcMar>
              <w:top w:w="56" w:type="dxa"/>
              <w:left w:w="113" w:type="dxa"/>
              <w:bottom w:w="56" w:type="dxa"/>
              <w:right w:w="113" w:type="dxa"/>
            </w:tcMar>
          </w:tcPr>
          <w:p w14:paraId="16FC222B" w14:textId="77777777" w:rsidR="002B05AF" w:rsidRDefault="00000000">
            <w:r>
              <w:rPr>
                <w:b/>
                <w:bCs/>
                <w:color w:val="FFFFFF"/>
                <w:sz w:val="18"/>
                <w:szCs w:val="18"/>
              </w:rPr>
              <w:t>Lead Authority</w:t>
            </w:r>
          </w:p>
        </w:tc>
        <w:tc>
          <w:tcPr>
            <w:tcW w:w="6612" w:type="dxa"/>
            <w:shd w:val="clear" w:color="auto" w:fill="F4F6F9"/>
            <w:tcMar>
              <w:top w:w="56" w:type="dxa"/>
              <w:left w:w="113" w:type="dxa"/>
              <w:bottom w:w="56" w:type="dxa"/>
              <w:right w:w="113" w:type="dxa"/>
            </w:tcMar>
          </w:tcPr>
          <w:p w14:paraId="61B77D99" w14:textId="77777777" w:rsidR="002B05AF" w:rsidRDefault="00000000">
            <w:r>
              <w:rPr>
                <w:color w:val="222222"/>
                <w:sz w:val="18"/>
                <w:szCs w:val="18"/>
              </w:rPr>
              <w:t>** Federal Trade Commission</w:t>
            </w:r>
          </w:p>
        </w:tc>
      </w:tr>
      <w:tr w:rsidR="002B05AF" w14:paraId="7E554DB9" w14:textId="77777777">
        <w:tblPrEx>
          <w:tblCellMar>
            <w:top w:w="0" w:type="dxa"/>
            <w:bottom w:w="0" w:type="dxa"/>
          </w:tblCellMar>
        </w:tblPrEx>
        <w:tc>
          <w:tcPr>
            <w:tcW w:w="2800" w:type="dxa"/>
            <w:shd w:val="clear" w:color="auto" w:fill="1A2E52"/>
            <w:tcMar>
              <w:top w:w="56" w:type="dxa"/>
              <w:left w:w="113" w:type="dxa"/>
              <w:bottom w:w="56" w:type="dxa"/>
              <w:right w:w="113" w:type="dxa"/>
            </w:tcMar>
          </w:tcPr>
          <w:p w14:paraId="3AE386B1" w14:textId="77777777" w:rsidR="002B05AF" w:rsidRDefault="00000000">
            <w:r>
              <w:rPr>
                <w:b/>
                <w:bCs/>
                <w:color w:val="FFFFFF"/>
                <w:sz w:val="18"/>
                <w:szCs w:val="18"/>
              </w:rPr>
              <w:t>Status</w:t>
            </w:r>
          </w:p>
        </w:tc>
        <w:tc>
          <w:tcPr>
            <w:tcW w:w="6612" w:type="dxa"/>
            <w:shd w:val="clear" w:color="auto" w:fill="FFFFFF"/>
            <w:tcMar>
              <w:top w:w="56" w:type="dxa"/>
              <w:left w:w="113" w:type="dxa"/>
              <w:bottom w:w="56" w:type="dxa"/>
              <w:right w:w="113" w:type="dxa"/>
            </w:tcMar>
          </w:tcPr>
          <w:p w14:paraId="45B2FB08" w14:textId="77777777" w:rsidR="002B05AF" w:rsidRDefault="00000000">
            <w:r>
              <w:rPr>
                <w:color w:val="222222"/>
                <w:sz w:val="18"/>
                <w:szCs w:val="18"/>
              </w:rPr>
              <w:t>** Effectively stalled; under review by new FTC leadership</w:t>
            </w:r>
          </w:p>
        </w:tc>
      </w:tr>
      <w:tr w:rsidR="002B05AF" w14:paraId="2E828EBD" w14:textId="77777777">
        <w:tblPrEx>
          <w:tblCellMar>
            <w:top w:w="0" w:type="dxa"/>
            <w:bottom w:w="0" w:type="dxa"/>
          </w:tblCellMar>
        </w:tblPrEx>
        <w:tc>
          <w:tcPr>
            <w:tcW w:w="2800" w:type="dxa"/>
            <w:shd w:val="clear" w:color="auto" w:fill="1A2E52"/>
            <w:tcMar>
              <w:top w:w="56" w:type="dxa"/>
              <w:left w:w="113" w:type="dxa"/>
              <w:bottom w:w="56" w:type="dxa"/>
              <w:right w:w="113" w:type="dxa"/>
            </w:tcMar>
          </w:tcPr>
          <w:p w14:paraId="2993C106" w14:textId="77777777" w:rsidR="002B05AF" w:rsidRDefault="00000000">
            <w:r>
              <w:rPr>
                <w:b/>
                <w:bCs/>
                <w:color w:val="FFFFFF"/>
                <w:sz w:val="18"/>
                <w:szCs w:val="18"/>
              </w:rPr>
              <w:t>Key Date</w:t>
            </w:r>
          </w:p>
        </w:tc>
        <w:tc>
          <w:tcPr>
            <w:tcW w:w="6612" w:type="dxa"/>
            <w:shd w:val="clear" w:color="auto" w:fill="F4F6F9"/>
            <w:tcMar>
              <w:top w:w="56" w:type="dxa"/>
              <w:left w:w="113" w:type="dxa"/>
              <w:bottom w:w="56" w:type="dxa"/>
              <w:right w:w="113" w:type="dxa"/>
            </w:tcMar>
          </w:tcPr>
          <w:p w14:paraId="2460BEC0" w14:textId="77777777" w:rsidR="002B05AF" w:rsidRDefault="00000000">
            <w:r>
              <w:rPr>
                <w:color w:val="222222"/>
                <w:sz w:val="18"/>
                <w:szCs w:val="18"/>
              </w:rPr>
              <w:t>** Original ANPRM August 2022; review ongoing through 2025</w:t>
            </w:r>
          </w:p>
        </w:tc>
      </w:tr>
    </w:tbl>
    <w:p w14:paraId="61AAAAF8" w14:textId="77777777" w:rsidR="002B05AF" w:rsidRDefault="002B05AF">
      <w:pPr>
        <w:spacing w:before="80"/>
      </w:pPr>
    </w:p>
    <w:p w14:paraId="6B6DE2C7" w14:textId="77777777" w:rsidR="002B05AF" w:rsidRDefault="00000000">
      <w:pPr>
        <w:spacing w:before="80" w:after="40"/>
      </w:pPr>
      <w:r>
        <w:rPr>
          <w:b/>
          <w:bCs/>
          <w:color w:val="1A2E52"/>
          <w:sz w:val="21"/>
          <w:szCs w:val="21"/>
        </w:rPr>
        <w:t>What it does</w:t>
      </w:r>
    </w:p>
    <w:p w14:paraId="71A1E1B4" w14:textId="77777777" w:rsidR="002B05AF" w:rsidRDefault="00000000">
      <w:pPr>
        <w:spacing w:before="40" w:after="80"/>
      </w:pPr>
      <w:r>
        <w:rPr>
          <w:color w:val="222222"/>
        </w:rPr>
        <w:t xml:space="preserve">The FTC's commercial surveillance rulemaking, which sought to establish binding rules on commercial data collection, use, and sharing practices, has been substantially </w:t>
      </w:r>
      <w:proofErr w:type="spellStart"/>
      <w:r>
        <w:rPr>
          <w:color w:val="222222"/>
        </w:rPr>
        <w:t>deprioritised</w:t>
      </w:r>
      <w:proofErr w:type="spellEnd"/>
      <w:r>
        <w:rPr>
          <w:color w:val="222222"/>
        </w:rPr>
        <w:t xml:space="preserve"> under the new FTC leadership appointed by the Trump administration in early 2025. The new majority has </w:t>
      </w:r>
      <w:proofErr w:type="spellStart"/>
      <w:r>
        <w:rPr>
          <w:color w:val="222222"/>
        </w:rPr>
        <w:t>signalled</w:t>
      </w:r>
      <w:proofErr w:type="spellEnd"/>
      <w:r>
        <w:rPr>
          <w:color w:val="222222"/>
        </w:rPr>
        <w:t xml:space="preserve"> a preference for targeted enforcement actions over broad </w:t>
      </w:r>
      <w:proofErr w:type="gramStart"/>
      <w:r>
        <w:rPr>
          <w:color w:val="222222"/>
        </w:rPr>
        <w:t>rulemaking, and</w:t>
      </w:r>
      <w:proofErr w:type="gramEnd"/>
      <w:r>
        <w:rPr>
          <w:color w:val="222222"/>
        </w:rPr>
        <w:t xml:space="preserve"> has halted or slowed several Biden-era regulatory initiatives. However, the FTC retains its Section 5 unfair and deceptive practices authority and continues to bring enforcement actions — particularly in the areas of AI, children's data, and sensitive health data — meaning case-by-case liability risk remains material even without a final rule.</w:t>
      </w:r>
    </w:p>
    <w:p w14:paraId="6A5CA881" w14:textId="77777777" w:rsidR="002B05AF" w:rsidRDefault="00000000">
      <w:pPr>
        <w:spacing w:before="60" w:after="40"/>
      </w:pPr>
      <w:r>
        <w:rPr>
          <w:b/>
          <w:bCs/>
          <w:color w:val="1A2E52"/>
          <w:sz w:val="21"/>
          <w:szCs w:val="21"/>
        </w:rPr>
        <w:t>Relevance to objectives</w:t>
      </w:r>
    </w:p>
    <w:p w14:paraId="7FB94F46" w14:textId="77777777" w:rsidR="002B05AF" w:rsidRDefault="00000000">
      <w:pPr>
        <w:spacing w:before="40" w:after="80"/>
      </w:pPr>
      <w:r>
        <w:rPr>
          <w:color w:val="222222"/>
        </w:rPr>
        <w:t>While the stalling of the rulemaking reduces near-term regulatory compliance burden, the shift to enforcement-first posture creates unpredictability. Intel's data-intensive products and services remain exposed to FTC action under existing authority, and the absence of a clear rule makes legal risk harder to plan around.</w:t>
      </w:r>
    </w:p>
    <w:p w14:paraId="03233EA6" w14:textId="77777777" w:rsidR="002B05AF" w:rsidRDefault="00000000">
      <w:pPr>
        <w:spacing w:before="60" w:after="40"/>
      </w:pPr>
      <w:r>
        <w:rPr>
          <w:b/>
          <w:bCs/>
          <w:color w:val="1A2E52"/>
          <w:sz w:val="21"/>
          <w:szCs w:val="21"/>
        </w:rPr>
        <w:t>Why it matters</w:t>
      </w:r>
    </w:p>
    <w:p w14:paraId="7A27107C" w14:textId="77777777" w:rsidR="002B05AF" w:rsidRDefault="00000000">
      <w:pPr>
        <w:spacing w:before="40" w:after="80"/>
      </w:pPr>
      <w:r>
        <w:rPr>
          <w:color w:val="222222"/>
        </w:rPr>
        <w:lastRenderedPageBreak/>
        <w:t>The FTC's enforcement trajectory under new leadership will define the practical privacy compliance standard for U.S. technology companies for the next two to four years. The commission's focus on AI-related data practices is directly relevant to Intel's AI product portfolio.</w:t>
      </w:r>
    </w:p>
    <w:p w14:paraId="47B06F5E" w14:textId="77777777" w:rsidR="002B05AF" w:rsidRDefault="00000000">
      <w:pPr>
        <w:spacing w:before="60" w:after="40"/>
      </w:pPr>
      <w:r>
        <w:rPr>
          <w:b/>
          <w:bCs/>
          <w:color w:val="1A2E52"/>
          <w:sz w:val="21"/>
          <w:szCs w:val="21"/>
        </w:rPr>
        <w:t>Implications</w:t>
      </w:r>
    </w:p>
    <w:p w14:paraId="56AD3F8A" w14:textId="77777777" w:rsidR="002B05AF" w:rsidRDefault="00000000">
      <w:pPr>
        <w:spacing w:before="40" w:after="80"/>
      </w:pPr>
      <w:r>
        <w:rPr>
          <w:color w:val="222222"/>
        </w:rPr>
        <w:t>Intel should expect continued FTC scrutiny of AI training data practices, data broker relationships, and children's data handling — regardless of rulemaking status. Consent and transparency practices must be defensible under Section 5 even in the absence of a formal rule.</w:t>
      </w:r>
    </w:p>
    <w:tbl>
      <w:tblPr>
        <w:tblW w:w="9412" w:type="dxa"/>
        <w:tblBorders>
          <w:top w:val="single" w:sz="16" w:space="0" w:color="F7941D"/>
          <w:left w:val="single" w:sz="16" w:space="0" w:color="F7941D"/>
          <w:bottom w:val="single" w:sz="4" w:space="0" w:color="EEEEEE"/>
          <w:right w:val="single" w:sz="4" w:space="0" w:color="EEEEEE"/>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12"/>
      </w:tblGrid>
      <w:tr w:rsidR="002B05AF" w14:paraId="5EB5C936" w14:textId="77777777">
        <w:tblPrEx>
          <w:tblCellMar>
            <w:top w:w="0" w:type="dxa"/>
            <w:bottom w:w="0" w:type="dxa"/>
          </w:tblCellMar>
        </w:tblPrEx>
        <w:tc>
          <w:tcPr>
            <w:tcW w:w="9412" w:type="dxa"/>
            <w:shd w:val="clear" w:color="auto" w:fill="FFF0CC"/>
            <w:tcMar>
              <w:top w:w="113" w:type="dxa"/>
              <w:left w:w="226" w:type="dxa"/>
              <w:bottom w:w="113" w:type="dxa"/>
              <w:right w:w="226" w:type="dxa"/>
            </w:tcMar>
          </w:tcPr>
          <w:p w14:paraId="4F6B7B88" w14:textId="77777777" w:rsidR="002B05AF" w:rsidRDefault="00000000">
            <w:pPr>
              <w:spacing w:after="60"/>
            </w:pPr>
            <w:r>
              <w:rPr>
                <w:b/>
                <w:bCs/>
                <w:color w:val="1A2E52"/>
              </w:rPr>
              <w:t xml:space="preserve">Recommended action: </w:t>
            </w:r>
          </w:p>
          <w:p w14:paraId="696EE78C" w14:textId="77777777" w:rsidR="002B05AF" w:rsidRDefault="00000000">
            <w:pPr>
              <w:spacing w:after="60"/>
            </w:pPr>
            <w:r>
              <w:rPr>
                <w:color w:val="1A2E52"/>
              </w:rPr>
              <w:t>▶ MONITOR CLOSELY — Track FTC enforcement actions in the AI and semiconductor sectors for signal on enforcement priorities; adjust internal compliance posture accordingly.</w:t>
            </w:r>
          </w:p>
        </w:tc>
      </w:tr>
    </w:tbl>
    <w:p w14:paraId="7EF51745" w14:textId="77777777" w:rsidR="002B05AF" w:rsidRDefault="002B05AF">
      <w:pPr>
        <w:spacing w:before="60"/>
      </w:pPr>
    </w:p>
    <w:p w14:paraId="1B8ABF89" w14:textId="77777777" w:rsidR="002B05AF" w:rsidRDefault="00000000">
      <w:pPr>
        <w:spacing w:before="40" w:after="20"/>
      </w:pPr>
      <w:r>
        <w:rPr>
          <w:b/>
          <w:bCs/>
          <w:color w:val="777777"/>
          <w:sz w:val="18"/>
          <w:szCs w:val="18"/>
        </w:rPr>
        <w:t>Sources</w:t>
      </w:r>
    </w:p>
    <w:p w14:paraId="34E29BD9" w14:textId="77777777" w:rsidR="002B05AF" w:rsidRDefault="00000000">
      <w:pPr>
        <w:spacing w:after="20"/>
      </w:pPr>
      <w:r>
        <w:rPr>
          <w:color w:val="444444"/>
          <w:sz w:val="18"/>
          <w:szCs w:val="18"/>
        </w:rPr>
        <w:t xml:space="preserve">• </w:t>
      </w:r>
      <w:hyperlink r:id="rId8" w:history="1">
        <w:r>
          <w:rPr>
            <w:color w:val="1A56A0"/>
            <w:sz w:val="18"/>
            <w:szCs w:val="18"/>
            <w:u w:val="single"/>
          </w:rPr>
          <w:t>FTC — Commercial Surveillance Rulemaking Docket</w:t>
        </w:r>
      </w:hyperlink>
    </w:p>
    <w:p w14:paraId="7481ACB2" w14:textId="77777777" w:rsidR="002B05AF" w:rsidRDefault="00000000">
      <w:pPr>
        <w:spacing w:after="20"/>
      </w:pPr>
      <w:r>
        <w:rPr>
          <w:color w:val="444444"/>
          <w:sz w:val="18"/>
          <w:szCs w:val="18"/>
        </w:rPr>
        <w:t xml:space="preserve">• </w:t>
      </w:r>
      <w:hyperlink r:id="rId9" w:history="1">
        <w:r>
          <w:rPr>
            <w:color w:val="1A56A0"/>
            <w:sz w:val="18"/>
            <w:szCs w:val="18"/>
            <w:u w:val="single"/>
          </w:rPr>
          <w:t>IAPP — FTC Leadership Change and Regulatory Outlook — 2025</w:t>
        </w:r>
      </w:hyperlink>
    </w:p>
    <w:p w14:paraId="2DCB12D7" w14:textId="77777777" w:rsidR="002B05AF" w:rsidRDefault="00000000">
      <w:pPr>
        <w:spacing w:after="20"/>
      </w:pPr>
      <w:r>
        <w:rPr>
          <w:color w:val="444444"/>
          <w:sz w:val="18"/>
          <w:szCs w:val="18"/>
        </w:rPr>
        <w:t xml:space="preserve">• </w:t>
      </w:r>
      <w:hyperlink r:id="rId10" w:history="1">
        <w:r>
          <w:rPr>
            <w:color w:val="1A56A0"/>
            <w:sz w:val="18"/>
            <w:szCs w:val="18"/>
            <w:u w:val="single"/>
          </w:rPr>
          <w:t>Federal Register — FTC ANPRM on Commercial Surveillance</w:t>
        </w:r>
      </w:hyperlink>
    </w:p>
    <w:p w14:paraId="629E846A" w14:textId="77777777" w:rsidR="002B05AF" w:rsidRDefault="00000000">
      <w:pPr>
        <w:spacing w:after="20"/>
      </w:pPr>
      <w:r>
        <w:rPr>
          <w:color w:val="1A56A0"/>
          <w:sz w:val="18"/>
          <w:szCs w:val="18"/>
        </w:rPr>
        <w:t>• ━━━━━━━━━━━━━━━━━━━━━━━━━━━━━━━━━━━</w:t>
      </w:r>
    </w:p>
    <w:p w14:paraId="764ACD31" w14:textId="77777777" w:rsidR="002B05AF" w:rsidRDefault="002B05AF">
      <w:pPr>
        <w:spacing w:before="80"/>
      </w:pPr>
    </w:p>
    <w:p w14:paraId="2EAEC637" w14:textId="77777777" w:rsidR="002B05AF" w:rsidRDefault="002B05AF">
      <w:pPr>
        <w:pBdr>
          <w:bottom w:val="single" w:sz="4" w:space="0" w:color="E0E4EA"/>
        </w:pBdr>
      </w:pPr>
    </w:p>
    <w:p w14:paraId="01F6F7BD" w14:textId="77777777" w:rsidR="002B05AF" w:rsidRDefault="002B05AF">
      <w:pPr>
        <w:spacing w:before="80"/>
      </w:pPr>
    </w:p>
    <w:tbl>
      <w:tblPr>
        <w:tblW w:w="396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968"/>
      </w:tblGrid>
      <w:tr w:rsidR="002B05AF" w14:paraId="360C6551" w14:textId="77777777">
        <w:tblPrEx>
          <w:tblCellMar>
            <w:top w:w="0" w:type="dxa"/>
            <w:bottom w:w="0" w:type="dxa"/>
          </w:tblCellMar>
        </w:tblPrEx>
        <w:tc>
          <w:tcPr>
            <w:tcW w:w="3968" w:type="dxa"/>
            <w:shd w:val="clear" w:color="auto" w:fill="FEF2F2"/>
            <w:tcMar>
              <w:top w:w="56" w:type="dxa"/>
              <w:left w:w="113" w:type="dxa"/>
              <w:bottom w:w="56" w:type="dxa"/>
              <w:right w:w="113" w:type="dxa"/>
            </w:tcMar>
            <w:vAlign w:val="center"/>
          </w:tcPr>
          <w:p w14:paraId="7A8AB345" w14:textId="77777777" w:rsidR="002B05AF" w:rsidRDefault="00000000">
            <w:r>
              <w:rPr>
                <w:b/>
                <w:bCs/>
                <w:color w:val="9B1C1C"/>
                <w:sz w:val="17"/>
                <w:szCs w:val="17"/>
              </w:rPr>
              <w:t>INITIATIVE 3 — PRIORITY: HIGH</w:t>
            </w:r>
          </w:p>
        </w:tc>
      </w:tr>
    </w:tbl>
    <w:p w14:paraId="14979996" w14:textId="77777777" w:rsidR="002B05AF" w:rsidRDefault="002B05AF">
      <w:pPr>
        <w:spacing w:before="40"/>
      </w:pPr>
    </w:p>
    <w:p w14:paraId="16EBDC12" w14:textId="77777777" w:rsidR="002B05AF" w:rsidRDefault="00000000">
      <w:pPr>
        <w:spacing w:before="180" w:after="80"/>
      </w:pPr>
      <w:r>
        <w:rPr>
          <w:b/>
          <w:bCs/>
          <w:color w:val="1A2E52"/>
          <w:sz w:val="25"/>
          <w:szCs w:val="25"/>
        </w:rPr>
        <w:t>** Executive Order on Data Security &amp; Data Broker Restrictions (Bulk Sensitive Data)</w:t>
      </w:r>
    </w:p>
    <w:tbl>
      <w:tblPr>
        <w:tblW w:w="9412" w:type="dxa"/>
        <w:tblBorders>
          <w:top w:val="single" w:sz="4" w:space="0" w:color="D0D5DD"/>
          <w:left w:val="single" w:sz="4" w:space="0" w:color="D0D5DD"/>
          <w:bottom w:val="single" w:sz="4" w:space="0" w:color="D0D5DD"/>
          <w:right w:val="single" w:sz="4" w:space="0" w:color="D0D5DD"/>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612"/>
      </w:tblGrid>
      <w:tr w:rsidR="002B05AF" w14:paraId="1C5EBE60" w14:textId="77777777">
        <w:tblPrEx>
          <w:tblCellMar>
            <w:top w:w="0" w:type="dxa"/>
            <w:bottom w:w="0" w:type="dxa"/>
          </w:tblCellMar>
        </w:tblPrEx>
        <w:tc>
          <w:tcPr>
            <w:tcW w:w="2800" w:type="dxa"/>
            <w:shd w:val="clear" w:color="auto" w:fill="1A2E52"/>
            <w:tcMar>
              <w:top w:w="56" w:type="dxa"/>
              <w:left w:w="113" w:type="dxa"/>
              <w:bottom w:w="56" w:type="dxa"/>
              <w:right w:w="113" w:type="dxa"/>
            </w:tcMar>
          </w:tcPr>
          <w:p w14:paraId="71666A70" w14:textId="77777777" w:rsidR="002B05AF" w:rsidRDefault="00000000">
            <w:r>
              <w:rPr>
                <w:b/>
                <w:bCs/>
                <w:color w:val="FFFFFF"/>
                <w:sz w:val="18"/>
                <w:szCs w:val="18"/>
              </w:rPr>
              <w:t>Type</w:t>
            </w:r>
          </w:p>
        </w:tc>
        <w:tc>
          <w:tcPr>
            <w:tcW w:w="6612" w:type="dxa"/>
            <w:shd w:val="clear" w:color="auto" w:fill="FFFFFF"/>
            <w:tcMar>
              <w:top w:w="56" w:type="dxa"/>
              <w:left w:w="113" w:type="dxa"/>
              <w:bottom w:w="56" w:type="dxa"/>
              <w:right w:w="113" w:type="dxa"/>
            </w:tcMar>
          </w:tcPr>
          <w:p w14:paraId="010E4AF8" w14:textId="77777777" w:rsidR="002B05AF" w:rsidRDefault="00000000">
            <w:r>
              <w:rPr>
                <w:color w:val="222222"/>
                <w:sz w:val="18"/>
                <w:szCs w:val="18"/>
              </w:rPr>
              <w:t>** Executive Order / Agency Implementation Rules</w:t>
            </w:r>
          </w:p>
        </w:tc>
      </w:tr>
      <w:tr w:rsidR="002B05AF" w14:paraId="73FB4277" w14:textId="77777777">
        <w:tblPrEx>
          <w:tblCellMar>
            <w:top w:w="0" w:type="dxa"/>
            <w:bottom w:w="0" w:type="dxa"/>
          </w:tblCellMar>
        </w:tblPrEx>
        <w:tc>
          <w:tcPr>
            <w:tcW w:w="2800" w:type="dxa"/>
            <w:shd w:val="clear" w:color="auto" w:fill="1A2E52"/>
            <w:tcMar>
              <w:top w:w="56" w:type="dxa"/>
              <w:left w:w="113" w:type="dxa"/>
              <w:bottom w:w="56" w:type="dxa"/>
              <w:right w:w="113" w:type="dxa"/>
            </w:tcMar>
          </w:tcPr>
          <w:p w14:paraId="79BA17C7" w14:textId="77777777" w:rsidR="002B05AF" w:rsidRDefault="00000000">
            <w:r>
              <w:rPr>
                <w:b/>
                <w:bCs/>
                <w:color w:val="FFFFFF"/>
                <w:sz w:val="18"/>
                <w:szCs w:val="18"/>
              </w:rPr>
              <w:t>Lead Authority</w:t>
            </w:r>
          </w:p>
        </w:tc>
        <w:tc>
          <w:tcPr>
            <w:tcW w:w="6612" w:type="dxa"/>
            <w:shd w:val="clear" w:color="auto" w:fill="F4F6F9"/>
            <w:tcMar>
              <w:top w:w="56" w:type="dxa"/>
              <w:left w:w="113" w:type="dxa"/>
              <w:bottom w:w="56" w:type="dxa"/>
              <w:right w:w="113" w:type="dxa"/>
            </w:tcMar>
          </w:tcPr>
          <w:p w14:paraId="732F2DC1" w14:textId="77777777" w:rsidR="002B05AF" w:rsidRDefault="00000000">
            <w:r>
              <w:rPr>
                <w:color w:val="222222"/>
                <w:sz w:val="18"/>
                <w:szCs w:val="18"/>
              </w:rPr>
              <w:t>** Department of Justice; Department of Homeland Security</w:t>
            </w:r>
          </w:p>
        </w:tc>
      </w:tr>
      <w:tr w:rsidR="002B05AF" w14:paraId="46F5403D" w14:textId="77777777">
        <w:tblPrEx>
          <w:tblCellMar>
            <w:top w:w="0" w:type="dxa"/>
            <w:bottom w:w="0" w:type="dxa"/>
          </w:tblCellMar>
        </w:tblPrEx>
        <w:tc>
          <w:tcPr>
            <w:tcW w:w="2800" w:type="dxa"/>
            <w:shd w:val="clear" w:color="auto" w:fill="1A2E52"/>
            <w:tcMar>
              <w:top w:w="56" w:type="dxa"/>
              <w:left w:w="113" w:type="dxa"/>
              <w:bottom w:w="56" w:type="dxa"/>
              <w:right w:w="113" w:type="dxa"/>
            </w:tcMar>
          </w:tcPr>
          <w:p w14:paraId="0931CB17" w14:textId="77777777" w:rsidR="002B05AF" w:rsidRDefault="00000000">
            <w:r>
              <w:rPr>
                <w:b/>
                <w:bCs/>
                <w:color w:val="FFFFFF"/>
                <w:sz w:val="18"/>
                <w:szCs w:val="18"/>
              </w:rPr>
              <w:t>Status</w:t>
            </w:r>
          </w:p>
        </w:tc>
        <w:tc>
          <w:tcPr>
            <w:tcW w:w="6612" w:type="dxa"/>
            <w:shd w:val="clear" w:color="auto" w:fill="FFFFFF"/>
            <w:tcMar>
              <w:top w:w="56" w:type="dxa"/>
              <w:left w:w="113" w:type="dxa"/>
              <w:bottom w:w="56" w:type="dxa"/>
              <w:right w:w="113" w:type="dxa"/>
            </w:tcMar>
          </w:tcPr>
          <w:p w14:paraId="5648EE92" w14:textId="77777777" w:rsidR="002B05AF" w:rsidRDefault="00000000">
            <w:r>
              <w:rPr>
                <w:color w:val="222222"/>
                <w:sz w:val="18"/>
                <w:szCs w:val="18"/>
              </w:rPr>
              <w:t xml:space="preserve">** In force (EO issued February 2024); implementing regulations </w:t>
            </w:r>
            <w:proofErr w:type="spellStart"/>
            <w:r>
              <w:rPr>
                <w:color w:val="222222"/>
                <w:sz w:val="18"/>
                <w:szCs w:val="18"/>
              </w:rPr>
              <w:t>finalised</w:t>
            </w:r>
            <w:proofErr w:type="spellEnd"/>
            <w:r>
              <w:rPr>
                <w:color w:val="222222"/>
                <w:sz w:val="18"/>
                <w:szCs w:val="18"/>
              </w:rPr>
              <w:t xml:space="preserve"> December 2024 / in effect April 2025</w:t>
            </w:r>
          </w:p>
        </w:tc>
      </w:tr>
      <w:tr w:rsidR="002B05AF" w14:paraId="40B63190" w14:textId="77777777">
        <w:tblPrEx>
          <w:tblCellMar>
            <w:top w:w="0" w:type="dxa"/>
            <w:bottom w:w="0" w:type="dxa"/>
          </w:tblCellMar>
        </w:tblPrEx>
        <w:tc>
          <w:tcPr>
            <w:tcW w:w="2800" w:type="dxa"/>
            <w:shd w:val="clear" w:color="auto" w:fill="1A2E52"/>
            <w:tcMar>
              <w:top w:w="56" w:type="dxa"/>
              <w:left w:w="113" w:type="dxa"/>
              <w:bottom w:w="56" w:type="dxa"/>
              <w:right w:w="113" w:type="dxa"/>
            </w:tcMar>
          </w:tcPr>
          <w:p w14:paraId="49AE3EE6" w14:textId="77777777" w:rsidR="002B05AF" w:rsidRDefault="00000000">
            <w:r>
              <w:rPr>
                <w:b/>
                <w:bCs/>
                <w:color w:val="FFFFFF"/>
                <w:sz w:val="18"/>
                <w:szCs w:val="18"/>
              </w:rPr>
              <w:t>Key Date</w:t>
            </w:r>
          </w:p>
        </w:tc>
        <w:tc>
          <w:tcPr>
            <w:tcW w:w="6612" w:type="dxa"/>
            <w:shd w:val="clear" w:color="auto" w:fill="F4F6F9"/>
            <w:tcMar>
              <w:top w:w="56" w:type="dxa"/>
              <w:left w:w="113" w:type="dxa"/>
              <w:bottom w:w="56" w:type="dxa"/>
              <w:right w:w="113" w:type="dxa"/>
            </w:tcMar>
          </w:tcPr>
          <w:p w14:paraId="3CAFD61F" w14:textId="77777777" w:rsidR="002B05AF" w:rsidRDefault="00000000">
            <w:r>
              <w:rPr>
                <w:color w:val="222222"/>
                <w:sz w:val="18"/>
                <w:szCs w:val="18"/>
              </w:rPr>
              <w:t>** Final Rule effective 8 April 2025</w:t>
            </w:r>
          </w:p>
        </w:tc>
      </w:tr>
    </w:tbl>
    <w:p w14:paraId="28983409" w14:textId="77777777" w:rsidR="002B05AF" w:rsidRDefault="002B05AF">
      <w:pPr>
        <w:spacing w:before="80"/>
      </w:pPr>
    </w:p>
    <w:p w14:paraId="7211051F" w14:textId="77777777" w:rsidR="002B05AF" w:rsidRDefault="00000000">
      <w:pPr>
        <w:spacing w:before="80" w:after="40"/>
      </w:pPr>
      <w:r>
        <w:rPr>
          <w:b/>
          <w:bCs/>
          <w:color w:val="1A2E52"/>
          <w:sz w:val="21"/>
          <w:szCs w:val="21"/>
        </w:rPr>
        <w:t>What it does</w:t>
      </w:r>
    </w:p>
    <w:p w14:paraId="11FE7DE3" w14:textId="77777777" w:rsidR="002B05AF" w:rsidRDefault="00000000">
      <w:pPr>
        <w:spacing w:before="40" w:after="80"/>
      </w:pPr>
      <w:r>
        <w:rPr>
          <w:color w:val="222222"/>
        </w:rPr>
        <w:t>The Biden-era Executive Order on Preventing Access to Americans' Bulk Sensitive Personal Data directed the DOJ to promulgate rules restricting the sale or transfer of bulk categories of sensitive personal data — including genomic, biometric, health, geolocation, and financial data — to "countries of concern" (primarily China, Russia, Iran, North Korea, Cuba, and Venezuela). The DOJ's final implementing rule took effect in April 2025. It imposes due diligence, audit, and contractual obligations on covered transactions and establishes a licensing regime for restricted but permissible data flows. The Trump administration has elected to maintain and enforce these rules, given their national security framing.</w:t>
      </w:r>
    </w:p>
    <w:p w14:paraId="6B30183F" w14:textId="77777777" w:rsidR="002B05AF" w:rsidRDefault="00000000">
      <w:pPr>
        <w:spacing w:before="60" w:after="40"/>
      </w:pPr>
      <w:r>
        <w:rPr>
          <w:b/>
          <w:bCs/>
          <w:color w:val="1A2E52"/>
          <w:sz w:val="21"/>
          <w:szCs w:val="21"/>
        </w:rPr>
        <w:t>Relevance to objectives</w:t>
      </w:r>
    </w:p>
    <w:p w14:paraId="2F1F1E3A" w14:textId="77777777" w:rsidR="002B05AF" w:rsidRDefault="00000000">
      <w:pPr>
        <w:spacing w:before="40" w:after="80"/>
      </w:pPr>
      <w:r>
        <w:rPr>
          <w:color w:val="222222"/>
        </w:rPr>
        <w:t xml:space="preserve">Intel's global R&amp;D and manufacturing operations involve cross-border data flows, </w:t>
      </w:r>
      <w:proofErr w:type="gramStart"/>
      <w:r>
        <w:rPr>
          <w:color w:val="222222"/>
        </w:rPr>
        <w:t>including with</w:t>
      </w:r>
      <w:proofErr w:type="gramEnd"/>
      <w:r>
        <w:rPr>
          <w:color w:val="222222"/>
        </w:rPr>
        <w:t xml:space="preserve"> entities in or connected to countries of concern. Telemetry data, employee data processed overseas, and data embedded in AI training pipelines must all be audited against the rule's coverage categories.</w:t>
      </w:r>
    </w:p>
    <w:p w14:paraId="57D75BEE" w14:textId="77777777" w:rsidR="002B05AF" w:rsidRDefault="00000000">
      <w:pPr>
        <w:spacing w:before="60" w:after="40"/>
      </w:pPr>
      <w:r>
        <w:rPr>
          <w:b/>
          <w:bCs/>
          <w:color w:val="1A2E52"/>
          <w:sz w:val="21"/>
          <w:szCs w:val="21"/>
        </w:rPr>
        <w:t>Why it matters</w:t>
      </w:r>
    </w:p>
    <w:p w14:paraId="7BEE9086" w14:textId="77777777" w:rsidR="002B05AF" w:rsidRDefault="00000000">
      <w:pPr>
        <w:spacing w:before="40" w:after="80"/>
      </w:pPr>
      <w:r>
        <w:rPr>
          <w:color w:val="222222"/>
        </w:rPr>
        <w:t>This is the most consequential active federal data regulation with immediate compliance obligations. Non-compliance carries civil and criminal penalties. The rule's broad definition of "covered data transactions" means many routine business arrangements — vendor contracts, cloud services, joint ventures — require legal review.</w:t>
      </w:r>
    </w:p>
    <w:p w14:paraId="0A2B676F" w14:textId="77777777" w:rsidR="002B05AF" w:rsidRDefault="00000000">
      <w:pPr>
        <w:spacing w:before="60" w:after="40"/>
      </w:pPr>
      <w:r>
        <w:rPr>
          <w:b/>
          <w:bCs/>
          <w:color w:val="1A2E52"/>
          <w:sz w:val="21"/>
          <w:szCs w:val="21"/>
        </w:rPr>
        <w:t>Implications</w:t>
      </w:r>
    </w:p>
    <w:p w14:paraId="3E2BBF74" w14:textId="77777777" w:rsidR="002B05AF" w:rsidRDefault="00000000">
      <w:pPr>
        <w:spacing w:before="40" w:after="80"/>
      </w:pPr>
      <w:r>
        <w:rPr>
          <w:color w:val="222222"/>
        </w:rPr>
        <w:t>Intel must conduct a supply-chain and data-flow audit to identify covered transactions; implement contractual safeguards with foreign vendors; and assess whether any AI training data sets or semiconductor design data fall within bulk thresholds. A licensing application may be required for certain cross-border R&amp;D collaborations.</w:t>
      </w:r>
    </w:p>
    <w:tbl>
      <w:tblPr>
        <w:tblW w:w="9412" w:type="dxa"/>
        <w:tblBorders>
          <w:top w:val="single" w:sz="16" w:space="0" w:color="F7941D"/>
          <w:left w:val="single" w:sz="16" w:space="0" w:color="F7941D"/>
          <w:bottom w:val="single" w:sz="4" w:space="0" w:color="EEEEEE"/>
          <w:right w:val="single" w:sz="4" w:space="0" w:color="EEEEEE"/>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12"/>
      </w:tblGrid>
      <w:tr w:rsidR="002B05AF" w14:paraId="054183F5" w14:textId="77777777">
        <w:tblPrEx>
          <w:tblCellMar>
            <w:top w:w="0" w:type="dxa"/>
            <w:bottom w:w="0" w:type="dxa"/>
          </w:tblCellMar>
        </w:tblPrEx>
        <w:tc>
          <w:tcPr>
            <w:tcW w:w="9412" w:type="dxa"/>
            <w:shd w:val="clear" w:color="auto" w:fill="FFF0CC"/>
            <w:tcMar>
              <w:top w:w="113" w:type="dxa"/>
              <w:left w:w="226" w:type="dxa"/>
              <w:bottom w:w="113" w:type="dxa"/>
              <w:right w:w="226" w:type="dxa"/>
            </w:tcMar>
          </w:tcPr>
          <w:p w14:paraId="2F5C8C79" w14:textId="77777777" w:rsidR="002B05AF" w:rsidRDefault="00000000">
            <w:pPr>
              <w:spacing w:after="60"/>
            </w:pPr>
            <w:r>
              <w:rPr>
                <w:b/>
                <w:bCs/>
                <w:color w:val="1A2E52"/>
              </w:rPr>
              <w:lastRenderedPageBreak/>
              <w:t xml:space="preserve">Recommended action: </w:t>
            </w:r>
          </w:p>
          <w:p w14:paraId="0C85D4CD" w14:textId="77777777" w:rsidR="002B05AF" w:rsidRDefault="00000000">
            <w:pPr>
              <w:spacing w:after="60"/>
            </w:pPr>
            <w:r>
              <w:rPr>
                <w:color w:val="1A2E52"/>
              </w:rPr>
              <w:t>▶ ENGAGE NOW — Commission an immediate internal audit of cross-border data flows against the DOJ rule's coverage definitions; engage outside counsel with national security clearance where classified guidance is relevant.</w:t>
            </w:r>
          </w:p>
        </w:tc>
      </w:tr>
    </w:tbl>
    <w:p w14:paraId="3D700C6B" w14:textId="77777777" w:rsidR="002B05AF" w:rsidRDefault="002B05AF">
      <w:pPr>
        <w:spacing w:before="60"/>
      </w:pPr>
    </w:p>
    <w:p w14:paraId="0E994A7A" w14:textId="77777777" w:rsidR="002B05AF" w:rsidRDefault="00000000">
      <w:pPr>
        <w:spacing w:before="40" w:after="20"/>
      </w:pPr>
      <w:r>
        <w:rPr>
          <w:b/>
          <w:bCs/>
          <w:color w:val="777777"/>
          <w:sz w:val="18"/>
          <w:szCs w:val="18"/>
        </w:rPr>
        <w:t>Sources</w:t>
      </w:r>
    </w:p>
    <w:p w14:paraId="29CAE97D" w14:textId="77777777" w:rsidR="002B05AF" w:rsidRDefault="00000000">
      <w:pPr>
        <w:spacing w:after="20"/>
      </w:pPr>
      <w:r>
        <w:rPr>
          <w:color w:val="444444"/>
          <w:sz w:val="18"/>
          <w:szCs w:val="18"/>
        </w:rPr>
        <w:t xml:space="preserve">• </w:t>
      </w:r>
      <w:hyperlink r:id="rId11" w:history="1">
        <w:r>
          <w:rPr>
            <w:color w:val="1A56A0"/>
            <w:sz w:val="18"/>
            <w:szCs w:val="18"/>
            <w:u w:val="single"/>
          </w:rPr>
          <w:t>U.S. Department of Justice — Final Rule on Bulk Sensitive Personal Data — December 2024</w:t>
        </w:r>
      </w:hyperlink>
    </w:p>
    <w:p w14:paraId="686C189B" w14:textId="77777777" w:rsidR="002B05AF" w:rsidRDefault="00000000">
      <w:pPr>
        <w:spacing w:after="20"/>
      </w:pPr>
      <w:r>
        <w:rPr>
          <w:color w:val="444444"/>
          <w:sz w:val="18"/>
          <w:szCs w:val="18"/>
        </w:rPr>
        <w:t xml:space="preserve">• </w:t>
      </w:r>
      <w:hyperlink r:id="rId12" w:history="1">
        <w:r>
          <w:rPr>
            <w:color w:val="1A56A0"/>
            <w:sz w:val="18"/>
            <w:szCs w:val="18"/>
            <w:u w:val="single"/>
          </w:rPr>
          <w:t>Federal Register — DOJ Bulk Data Final Rule — 2024</w:t>
        </w:r>
      </w:hyperlink>
    </w:p>
    <w:p w14:paraId="15F8D4FE" w14:textId="77777777" w:rsidR="002B05AF" w:rsidRDefault="00000000">
      <w:pPr>
        <w:spacing w:after="20"/>
      </w:pPr>
      <w:r>
        <w:rPr>
          <w:color w:val="444444"/>
          <w:sz w:val="18"/>
          <w:szCs w:val="18"/>
        </w:rPr>
        <w:t xml:space="preserve">• </w:t>
      </w:r>
      <w:hyperlink r:id="rId13" w:history="1">
        <w:r>
          <w:rPr>
            <w:color w:val="1A56A0"/>
            <w:sz w:val="18"/>
            <w:szCs w:val="18"/>
            <w:u w:val="single"/>
          </w:rPr>
          <w:t>DOJ National Security Division — Implementation Guidance</w:t>
        </w:r>
      </w:hyperlink>
    </w:p>
    <w:p w14:paraId="060FD038" w14:textId="77777777" w:rsidR="002B05AF" w:rsidRDefault="00000000">
      <w:pPr>
        <w:spacing w:after="20"/>
      </w:pPr>
      <w:r>
        <w:rPr>
          <w:color w:val="1A56A0"/>
          <w:sz w:val="18"/>
          <w:szCs w:val="18"/>
        </w:rPr>
        <w:t>• ━━━━━━━━━━━━━━━━━━━━━━━━━━━━━━━━━━━</w:t>
      </w:r>
    </w:p>
    <w:p w14:paraId="27B3B3CF" w14:textId="77777777" w:rsidR="002B05AF" w:rsidRDefault="002B05AF">
      <w:pPr>
        <w:spacing w:before="80"/>
      </w:pPr>
    </w:p>
    <w:p w14:paraId="3405E045" w14:textId="77777777" w:rsidR="002B05AF" w:rsidRDefault="002B05AF">
      <w:pPr>
        <w:pBdr>
          <w:bottom w:val="single" w:sz="4" w:space="0" w:color="E0E4EA"/>
        </w:pBdr>
      </w:pPr>
    </w:p>
    <w:p w14:paraId="60798943" w14:textId="77777777" w:rsidR="002B05AF" w:rsidRDefault="002B05AF">
      <w:pPr>
        <w:spacing w:before="80"/>
      </w:pPr>
    </w:p>
    <w:tbl>
      <w:tblPr>
        <w:tblW w:w="396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968"/>
      </w:tblGrid>
      <w:tr w:rsidR="002B05AF" w14:paraId="0A4C6A30" w14:textId="77777777">
        <w:tblPrEx>
          <w:tblCellMar>
            <w:top w:w="0" w:type="dxa"/>
            <w:bottom w:w="0" w:type="dxa"/>
          </w:tblCellMar>
        </w:tblPrEx>
        <w:tc>
          <w:tcPr>
            <w:tcW w:w="3968" w:type="dxa"/>
            <w:shd w:val="clear" w:color="auto" w:fill="FFF7ED"/>
            <w:tcMar>
              <w:top w:w="56" w:type="dxa"/>
              <w:left w:w="113" w:type="dxa"/>
              <w:bottom w:w="56" w:type="dxa"/>
              <w:right w:w="113" w:type="dxa"/>
            </w:tcMar>
            <w:vAlign w:val="center"/>
          </w:tcPr>
          <w:p w14:paraId="3193B325" w14:textId="77777777" w:rsidR="002B05AF" w:rsidRDefault="00000000">
            <w:r>
              <w:rPr>
                <w:b/>
                <w:bCs/>
                <w:color w:val="924E00"/>
                <w:sz w:val="17"/>
                <w:szCs w:val="17"/>
              </w:rPr>
              <w:t>INITIATIVE 4 — PRIORITY: MEDIUM</w:t>
            </w:r>
          </w:p>
        </w:tc>
      </w:tr>
    </w:tbl>
    <w:p w14:paraId="30925B73" w14:textId="77777777" w:rsidR="002B05AF" w:rsidRDefault="002B05AF">
      <w:pPr>
        <w:spacing w:before="40"/>
      </w:pPr>
    </w:p>
    <w:p w14:paraId="79CB2477" w14:textId="77777777" w:rsidR="002B05AF" w:rsidRDefault="00000000">
      <w:pPr>
        <w:spacing w:before="180" w:after="80"/>
      </w:pPr>
      <w:r>
        <w:rPr>
          <w:b/>
          <w:bCs/>
          <w:color w:val="1A2E52"/>
          <w:sz w:val="25"/>
          <w:szCs w:val="25"/>
        </w:rPr>
        <w:t>** State Privacy Law Proliferation — 2025 Wave (Texas, Indiana, Iowa, Tennessee, Oregon, Montana, Others Activating)</w:t>
      </w:r>
    </w:p>
    <w:tbl>
      <w:tblPr>
        <w:tblW w:w="9412" w:type="dxa"/>
        <w:tblBorders>
          <w:top w:val="single" w:sz="4" w:space="0" w:color="D0D5DD"/>
          <w:left w:val="single" w:sz="4" w:space="0" w:color="D0D5DD"/>
          <w:bottom w:val="single" w:sz="4" w:space="0" w:color="D0D5DD"/>
          <w:right w:val="single" w:sz="4" w:space="0" w:color="D0D5DD"/>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612"/>
      </w:tblGrid>
      <w:tr w:rsidR="002B05AF" w14:paraId="7B61C247" w14:textId="77777777">
        <w:tblPrEx>
          <w:tblCellMar>
            <w:top w:w="0" w:type="dxa"/>
            <w:bottom w:w="0" w:type="dxa"/>
          </w:tblCellMar>
        </w:tblPrEx>
        <w:tc>
          <w:tcPr>
            <w:tcW w:w="2800" w:type="dxa"/>
            <w:shd w:val="clear" w:color="auto" w:fill="1A2E52"/>
            <w:tcMar>
              <w:top w:w="56" w:type="dxa"/>
              <w:left w:w="113" w:type="dxa"/>
              <w:bottom w:w="56" w:type="dxa"/>
              <w:right w:w="113" w:type="dxa"/>
            </w:tcMar>
          </w:tcPr>
          <w:p w14:paraId="0142D355" w14:textId="77777777" w:rsidR="002B05AF" w:rsidRDefault="00000000">
            <w:r>
              <w:rPr>
                <w:b/>
                <w:bCs/>
                <w:color w:val="FFFFFF"/>
                <w:sz w:val="18"/>
                <w:szCs w:val="18"/>
              </w:rPr>
              <w:t>Type</w:t>
            </w:r>
          </w:p>
        </w:tc>
        <w:tc>
          <w:tcPr>
            <w:tcW w:w="6612" w:type="dxa"/>
            <w:shd w:val="clear" w:color="auto" w:fill="FFFFFF"/>
            <w:tcMar>
              <w:top w:w="56" w:type="dxa"/>
              <w:left w:w="113" w:type="dxa"/>
              <w:bottom w:w="56" w:type="dxa"/>
              <w:right w:w="113" w:type="dxa"/>
            </w:tcMar>
          </w:tcPr>
          <w:p w14:paraId="7BB21F25" w14:textId="77777777" w:rsidR="002B05AF" w:rsidRDefault="00000000">
            <w:r>
              <w:rPr>
                <w:color w:val="222222"/>
                <w:sz w:val="18"/>
                <w:szCs w:val="18"/>
              </w:rPr>
              <w:t>** State Legislation (Multiple)</w:t>
            </w:r>
          </w:p>
        </w:tc>
      </w:tr>
      <w:tr w:rsidR="002B05AF" w14:paraId="6CB50E79" w14:textId="77777777">
        <w:tblPrEx>
          <w:tblCellMar>
            <w:top w:w="0" w:type="dxa"/>
            <w:bottom w:w="0" w:type="dxa"/>
          </w:tblCellMar>
        </w:tblPrEx>
        <w:tc>
          <w:tcPr>
            <w:tcW w:w="2800" w:type="dxa"/>
            <w:shd w:val="clear" w:color="auto" w:fill="1A2E52"/>
            <w:tcMar>
              <w:top w:w="56" w:type="dxa"/>
              <w:left w:w="113" w:type="dxa"/>
              <w:bottom w:w="56" w:type="dxa"/>
              <w:right w:w="113" w:type="dxa"/>
            </w:tcMar>
          </w:tcPr>
          <w:p w14:paraId="7067227D" w14:textId="77777777" w:rsidR="002B05AF" w:rsidRDefault="00000000">
            <w:r>
              <w:rPr>
                <w:b/>
                <w:bCs/>
                <w:color w:val="FFFFFF"/>
                <w:sz w:val="18"/>
                <w:szCs w:val="18"/>
              </w:rPr>
              <w:t>Lead Authority</w:t>
            </w:r>
          </w:p>
        </w:tc>
        <w:tc>
          <w:tcPr>
            <w:tcW w:w="6612" w:type="dxa"/>
            <w:shd w:val="clear" w:color="auto" w:fill="F4F6F9"/>
            <w:tcMar>
              <w:top w:w="56" w:type="dxa"/>
              <w:left w:w="113" w:type="dxa"/>
              <w:bottom w:w="56" w:type="dxa"/>
              <w:right w:w="113" w:type="dxa"/>
            </w:tcMar>
          </w:tcPr>
          <w:p w14:paraId="3FA309A0" w14:textId="77777777" w:rsidR="002B05AF" w:rsidRDefault="00000000">
            <w:r>
              <w:rPr>
                <w:color w:val="222222"/>
                <w:sz w:val="18"/>
                <w:szCs w:val="18"/>
              </w:rPr>
              <w:t>** Various state legislatures</w:t>
            </w:r>
          </w:p>
        </w:tc>
      </w:tr>
      <w:tr w:rsidR="002B05AF" w14:paraId="4B1693DA" w14:textId="77777777">
        <w:tblPrEx>
          <w:tblCellMar>
            <w:top w:w="0" w:type="dxa"/>
            <w:bottom w:w="0" w:type="dxa"/>
          </w:tblCellMar>
        </w:tblPrEx>
        <w:tc>
          <w:tcPr>
            <w:tcW w:w="2800" w:type="dxa"/>
            <w:shd w:val="clear" w:color="auto" w:fill="1A2E52"/>
            <w:tcMar>
              <w:top w:w="56" w:type="dxa"/>
              <w:left w:w="113" w:type="dxa"/>
              <w:bottom w:w="56" w:type="dxa"/>
              <w:right w:w="113" w:type="dxa"/>
            </w:tcMar>
          </w:tcPr>
          <w:p w14:paraId="78F91F81" w14:textId="77777777" w:rsidR="002B05AF" w:rsidRDefault="00000000">
            <w:r>
              <w:rPr>
                <w:b/>
                <w:bCs/>
                <w:color w:val="FFFFFF"/>
                <w:sz w:val="18"/>
                <w:szCs w:val="18"/>
              </w:rPr>
              <w:t>Status</w:t>
            </w:r>
          </w:p>
        </w:tc>
        <w:tc>
          <w:tcPr>
            <w:tcW w:w="6612" w:type="dxa"/>
            <w:shd w:val="clear" w:color="auto" w:fill="FFFFFF"/>
            <w:tcMar>
              <w:top w:w="56" w:type="dxa"/>
              <w:left w:w="113" w:type="dxa"/>
              <w:bottom w:w="56" w:type="dxa"/>
              <w:right w:w="113" w:type="dxa"/>
            </w:tcMar>
          </w:tcPr>
          <w:p w14:paraId="083A9945" w14:textId="77777777" w:rsidR="002B05AF" w:rsidRDefault="00000000">
            <w:r>
              <w:rPr>
                <w:color w:val="222222"/>
                <w:sz w:val="18"/>
                <w:szCs w:val="18"/>
              </w:rPr>
              <w:t>** Multiple laws entering into force throughout 2025</w:t>
            </w:r>
          </w:p>
        </w:tc>
      </w:tr>
      <w:tr w:rsidR="002B05AF" w14:paraId="7B5311AE" w14:textId="77777777">
        <w:tblPrEx>
          <w:tblCellMar>
            <w:top w:w="0" w:type="dxa"/>
            <w:bottom w:w="0" w:type="dxa"/>
          </w:tblCellMar>
        </w:tblPrEx>
        <w:tc>
          <w:tcPr>
            <w:tcW w:w="2800" w:type="dxa"/>
            <w:shd w:val="clear" w:color="auto" w:fill="1A2E52"/>
            <w:tcMar>
              <w:top w:w="56" w:type="dxa"/>
              <w:left w:w="113" w:type="dxa"/>
              <w:bottom w:w="56" w:type="dxa"/>
              <w:right w:w="113" w:type="dxa"/>
            </w:tcMar>
          </w:tcPr>
          <w:p w14:paraId="3C32FD58" w14:textId="77777777" w:rsidR="002B05AF" w:rsidRDefault="00000000">
            <w:r>
              <w:rPr>
                <w:b/>
                <w:bCs/>
                <w:color w:val="FFFFFF"/>
                <w:sz w:val="18"/>
                <w:szCs w:val="18"/>
              </w:rPr>
              <w:t>Key Date</w:t>
            </w:r>
          </w:p>
        </w:tc>
        <w:tc>
          <w:tcPr>
            <w:tcW w:w="6612" w:type="dxa"/>
            <w:shd w:val="clear" w:color="auto" w:fill="F4F6F9"/>
            <w:tcMar>
              <w:top w:w="56" w:type="dxa"/>
              <w:left w:w="113" w:type="dxa"/>
              <w:bottom w:w="56" w:type="dxa"/>
              <w:right w:w="113" w:type="dxa"/>
            </w:tcMar>
          </w:tcPr>
          <w:p w14:paraId="0B2DE912" w14:textId="77777777" w:rsidR="002B05AF" w:rsidRDefault="00000000">
            <w:r>
              <w:rPr>
                <w:color w:val="222222"/>
                <w:sz w:val="18"/>
                <w:szCs w:val="18"/>
              </w:rPr>
              <w:t>** Multiple effective dates — see below</w:t>
            </w:r>
          </w:p>
        </w:tc>
      </w:tr>
    </w:tbl>
    <w:p w14:paraId="3CDA3E9E" w14:textId="77777777" w:rsidR="002B05AF" w:rsidRDefault="002B05AF">
      <w:pPr>
        <w:spacing w:before="80"/>
      </w:pPr>
    </w:p>
    <w:p w14:paraId="1BA0F75C" w14:textId="77777777" w:rsidR="002B05AF" w:rsidRDefault="00000000">
      <w:pPr>
        <w:spacing w:before="80" w:after="40"/>
      </w:pPr>
      <w:r>
        <w:rPr>
          <w:b/>
          <w:bCs/>
          <w:color w:val="1A2E52"/>
          <w:sz w:val="21"/>
          <w:szCs w:val="21"/>
        </w:rPr>
        <w:t>What it does</w:t>
      </w:r>
    </w:p>
    <w:p w14:paraId="093E5499" w14:textId="77777777" w:rsidR="002B05AF" w:rsidRDefault="00000000">
      <w:pPr>
        <w:spacing w:before="40" w:after="80"/>
      </w:pPr>
      <w:r>
        <w:rPr>
          <w:color w:val="222222"/>
        </w:rPr>
        <w:t>At least six additional state comprehensive privacy laws became effective or are activating enforcement mechanisms in 2025, including Texas (TDPSA enforcement scaled up), Minnesota (effective July 2025), Maryland (effective October 2025), and New Hampshire (effective January 2025). Each law imposes varying combinations of consumer rights, opt-out obligations for targeted advertising and data sales, data protection assessments, and controller/processor contractual requirements. The Maryland law is notably stricter — it bans the sale of sensitive data categories outright in several contexts, a higher standard than most peer states.</w:t>
      </w:r>
    </w:p>
    <w:p w14:paraId="374032B2" w14:textId="77777777" w:rsidR="002B05AF" w:rsidRDefault="00000000">
      <w:pPr>
        <w:spacing w:before="60" w:after="40"/>
      </w:pPr>
      <w:r>
        <w:rPr>
          <w:b/>
          <w:bCs/>
          <w:color w:val="1A2E52"/>
          <w:sz w:val="21"/>
          <w:szCs w:val="21"/>
        </w:rPr>
        <w:t>Relevance to objectives</w:t>
      </w:r>
    </w:p>
    <w:p w14:paraId="34E5AA96" w14:textId="77777777" w:rsidR="002B05AF" w:rsidRDefault="00000000">
      <w:pPr>
        <w:spacing w:before="40" w:after="80"/>
      </w:pPr>
      <w:r>
        <w:rPr>
          <w:color w:val="222222"/>
        </w:rPr>
        <w:t>Each new state law adds a distinct compliance layer to Intel's U.S. operations. Differences in definitions (e.g., what constitutes a "sale" of data), opt-out mechanisms, and sensitive data categories create a complex matrix that undermines Intel's objective of operational consistency and strengthens the case for federal pre-emption.</w:t>
      </w:r>
    </w:p>
    <w:p w14:paraId="69CE00C0" w14:textId="77777777" w:rsidR="002B05AF" w:rsidRDefault="00000000">
      <w:pPr>
        <w:spacing w:before="60" w:after="40"/>
      </w:pPr>
      <w:r>
        <w:rPr>
          <w:b/>
          <w:bCs/>
          <w:color w:val="1A2E52"/>
          <w:sz w:val="21"/>
          <w:szCs w:val="21"/>
        </w:rPr>
        <w:t>Why it matters</w:t>
      </w:r>
    </w:p>
    <w:p w14:paraId="1EFFB1CD" w14:textId="77777777" w:rsidR="002B05AF" w:rsidRDefault="00000000">
      <w:pPr>
        <w:spacing w:before="40" w:after="80"/>
      </w:pPr>
      <w:r>
        <w:rPr>
          <w:color w:val="222222"/>
        </w:rPr>
        <w:t>Maryland's near-GDPR-level restrictions on sensitive data represent a meaningful escalation in U.S. state privacy standards. If other large-population states follow Maryland's model, the de facto national standard could be set by the strictest state rather than federal legislation.</w:t>
      </w:r>
    </w:p>
    <w:p w14:paraId="5254B61A" w14:textId="77777777" w:rsidR="002B05AF" w:rsidRDefault="00000000">
      <w:pPr>
        <w:spacing w:before="60" w:after="40"/>
      </w:pPr>
      <w:r>
        <w:rPr>
          <w:b/>
          <w:bCs/>
          <w:color w:val="1A2E52"/>
          <w:sz w:val="21"/>
          <w:szCs w:val="21"/>
        </w:rPr>
        <w:t>Implications</w:t>
      </w:r>
    </w:p>
    <w:p w14:paraId="16DAD8DE" w14:textId="77777777" w:rsidR="002B05AF" w:rsidRDefault="00000000">
      <w:pPr>
        <w:spacing w:before="40" w:after="80"/>
      </w:pPr>
      <w:r>
        <w:rPr>
          <w:color w:val="222222"/>
        </w:rPr>
        <w:t xml:space="preserve">Intel's consumer-facing products and B2B data services require jurisdiction-specific compliance mapping. Data protection impact assessments must be maintained and refreshed as new state laws activate. Privacy </w:t>
      </w:r>
      <w:proofErr w:type="spellStart"/>
      <w:r>
        <w:rPr>
          <w:color w:val="222222"/>
        </w:rPr>
        <w:t>programme</w:t>
      </w:r>
      <w:proofErr w:type="spellEnd"/>
      <w:r>
        <w:rPr>
          <w:color w:val="222222"/>
        </w:rPr>
        <w:t xml:space="preserve"> resources will need to </w:t>
      </w:r>
      <w:proofErr w:type="gramStart"/>
      <w:r>
        <w:rPr>
          <w:color w:val="222222"/>
        </w:rPr>
        <w:t>scale</w:t>
      </w:r>
      <w:proofErr w:type="gramEnd"/>
      <w:r>
        <w:rPr>
          <w:color w:val="222222"/>
        </w:rPr>
        <w:t xml:space="preserve"> accordingly.</w:t>
      </w:r>
    </w:p>
    <w:tbl>
      <w:tblPr>
        <w:tblW w:w="9412" w:type="dxa"/>
        <w:tblBorders>
          <w:top w:val="single" w:sz="16" w:space="0" w:color="F7941D"/>
          <w:left w:val="single" w:sz="16" w:space="0" w:color="F7941D"/>
          <w:bottom w:val="single" w:sz="4" w:space="0" w:color="EEEEEE"/>
          <w:right w:val="single" w:sz="4" w:space="0" w:color="EEEEEE"/>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12"/>
      </w:tblGrid>
      <w:tr w:rsidR="002B05AF" w14:paraId="51E91A10" w14:textId="77777777">
        <w:tblPrEx>
          <w:tblCellMar>
            <w:top w:w="0" w:type="dxa"/>
            <w:bottom w:w="0" w:type="dxa"/>
          </w:tblCellMar>
        </w:tblPrEx>
        <w:tc>
          <w:tcPr>
            <w:tcW w:w="9412" w:type="dxa"/>
            <w:shd w:val="clear" w:color="auto" w:fill="FFF0CC"/>
            <w:tcMar>
              <w:top w:w="113" w:type="dxa"/>
              <w:left w:w="226" w:type="dxa"/>
              <w:bottom w:w="113" w:type="dxa"/>
              <w:right w:w="226" w:type="dxa"/>
            </w:tcMar>
          </w:tcPr>
          <w:p w14:paraId="64BE72D2" w14:textId="77777777" w:rsidR="002B05AF" w:rsidRDefault="00000000">
            <w:pPr>
              <w:spacing w:after="60"/>
            </w:pPr>
            <w:r>
              <w:rPr>
                <w:b/>
                <w:bCs/>
                <w:color w:val="1A2E52"/>
              </w:rPr>
              <w:t xml:space="preserve">Recommended action: </w:t>
            </w:r>
          </w:p>
          <w:p w14:paraId="7947C8A3" w14:textId="77777777" w:rsidR="002B05AF" w:rsidRDefault="00000000">
            <w:pPr>
              <w:spacing w:after="60"/>
            </w:pPr>
            <w:r>
              <w:rPr>
                <w:color w:val="1A2E52"/>
              </w:rPr>
              <w:t>▶ MONITOR CLOSELY — Track Maryland and Minnesota enforcement posture in late 2025 as bellwethers; use the compliance gap analysis to strengthen Intel's federal pre-emption advocacy with concrete cost data.</w:t>
            </w:r>
          </w:p>
        </w:tc>
      </w:tr>
    </w:tbl>
    <w:p w14:paraId="7699B399" w14:textId="77777777" w:rsidR="002B05AF" w:rsidRDefault="002B05AF">
      <w:pPr>
        <w:spacing w:before="60"/>
      </w:pPr>
    </w:p>
    <w:p w14:paraId="018BE1FB" w14:textId="77777777" w:rsidR="002B05AF" w:rsidRDefault="00000000">
      <w:pPr>
        <w:spacing w:before="40" w:after="20"/>
      </w:pPr>
      <w:r>
        <w:rPr>
          <w:b/>
          <w:bCs/>
          <w:color w:val="777777"/>
          <w:sz w:val="18"/>
          <w:szCs w:val="18"/>
        </w:rPr>
        <w:t>Sources</w:t>
      </w:r>
    </w:p>
    <w:p w14:paraId="6E691526" w14:textId="77777777" w:rsidR="002B05AF" w:rsidRDefault="00000000">
      <w:pPr>
        <w:spacing w:after="20"/>
      </w:pPr>
      <w:r>
        <w:rPr>
          <w:color w:val="1A56A0"/>
          <w:sz w:val="18"/>
          <w:szCs w:val="18"/>
        </w:rPr>
        <w:t>• will need to scale accordingly.</w:t>
      </w:r>
    </w:p>
    <w:p w14:paraId="505D5122" w14:textId="77777777" w:rsidR="002B05AF" w:rsidRDefault="00000000">
      <w:pPr>
        <w:spacing w:after="20"/>
      </w:pPr>
      <w:r>
        <w:rPr>
          <w:color w:val="1A56A0"/>
          <w:sz w:val="18"/>
          <w:szCs w:val="18"/>
        </w:rPr>
        <w:t>• Recommended action**</w:t>
      </w:r>
    </w:p>
    <w:p w14:paraId="26FE742C" w14:textId="77777777" w:rsidR="002B05AF" w:rsidRDefault="00000000">
      <w:pPr>
        <w:spacing w:after="20"/>
      </w:pPr>
      <w:r>
        <w:rPr>
          <w:color w:val="1A56A0"/>
          <w:sz w:val="18"/>
          <w:szCs w:val="18"/>
        </w:rPr>
        <w:lastRenderedPageBreak/>
        <w:t>• ▶ MONITOR CLOSELY — Track Maryland and Minnesota enforcement posture in late 2025 as bellwethers; use the compliance gap analysis to strengthen Intel's federal pre-emption advocacy with concrete cost data.</w:t>
      </w:r>
    </w:p>
    <w:p w14:paraId="0ABB8844" w14:textId="77777777" w:rsidR="002B05AF" w:rsidRDefault="00000000">
      <w:pPr>
        <w:spacing w:after="20"/>
      </w:pPr>
      <w:r>
        <w:rPr>
          <w:color w:val="1A56A0"/>
          <w:sz w:val="18"/>
          <w:szCs w:val="18"/>
        </w:rPr>
        <w:t>• Sources**</w:t>
      </w:r>
    </w:p>
    <w:p w14:paraId="576748BB" w14:textId="77777777" w:rsidR="002B05AF" w:rsidRDefault="00000000">
      <w:pPr>
        <w:spacing w:after="20"/>
      </w:pPr>
      <w:r>
        <w:rPr>
          <w:color w:val="444444"/>
          <w:sz w:val="18"/>
          <w:szCs w:val="18"/>
        </w:rPr>
        <w:t xml:space="preserve">• </w:t>
      </w:r>
      <w:hyperlink r:id="rId14" w:history="1">
        <w:r>
          <w:rPr>
            <w:color w:val="1A56A0"/>
            <w:sz w:val="18"/>
            <w:szCs w:val="18"/>
            <w:u w:val="single"/>
          </w:rPr>
          <w:t>IAPP — U.S. State Privacy Legislation Tracker — 2025</w:t>
        </w:r>
      </w:hyperlink>
    </w:p>
    <w:p w14:paraId="305E1855" w14:textId="77777777" w:rsidR="002B05AF" w:rsidRDefault="00000000">
      <w:pPr>
        <w:spacing w:after="20"/>
      </w:pPr>
      <w:r>
        <w:rPr>
          <w:color w:val="444444"/>
          <w:sz w:val="18"/>
          <w:szCs w:val="18"/>
        </w:rPr>
        <w:t xml:space="preserve">• </w:t>
      </w:r>
      <w:hyperlink r:id="rId15" w:history="1">
        <w:r>
          <w:rPr>
            <w:color w:val="1A56A0"/>
            <w:sz w:val="18"/>
            <w:szCs w:val="18"/>
            <w:u w:val="single"/>
          </w:rPr>
          <w:t>Maryland General Assembly — Maryland Online Data Privacy Act</w:t>
        </w:r>
      </w:hyperlink>
    </w:p>
    <w:p w14:paraId="24D84C06" w14:textId="77777777" w:rsidR="002B05AF" w:rsidRDefault="00000000">
      <w:pPr>
        <w:spacing w:after="20"/>
      </w:pPr>
      <w:r>
        <w:rPr>
          <w:color w:val="444444"/>
          <w:sz w:val="18"/>
          <w:szCs w:val="18"/>
        </w:rPr>
        <w:t xml:space="preserve">• </w:t>
      </w:r>
      <w:hyperlink r:id="rId16" w:history="1">
        <w:r>
          <w:rPr>
            <w:color w:val="1A56A0"/>
            <w:sz w:val="18"/>
            <w:szCs w:val="18"/>
            <w:u w:val="single"/>
          </w:rPr>
          <w:t>Minnesota Legislature — Minnesota Consumer Data Privacy Act</w:t>
        </w:r>
      </w:hyperlink>
    </w:p>
    <w:p w14:paraId="18E93F2D" w14:textId="77777777" w:rsidR="002B05AF" w:rsidRDefault="00000000">
      <w:pPr>
        <w:spacing w:after="20"/>
      </w:pPr>
      <w:r>
        <w:rPr>
          <w:color w:val="1A56A0"/>
          <w:sz w:val="18"/>
          <w:szCs w:val="18"/>
        </w:rPr>
        <w:t>• ━━━━━━━━━━━━━━━━━━━━━━━━━━━━━━━━━━━</w:t>
      </w:r>
    </w:p>
    <w:p w14:paraId="47294F47" w14:textId="77777777" w:rsidR="002B05AF" w:rsidRDefault="002B05AF">
      <w:pPr>
        <w:spacing w:before="80"/>
      </w:pPr>
    </w:p>
    <w:p w14:paraId="16D33DE6" w14:textId="77777777" w:rsidR="002B05AF" w:rsidRDefault="002B05AF">
      <w:pPr>
        <w:pBdr>
          <w:bottom w:val="single" w:sz="4" w:space="0" w:color="E0E4EA"/>
        </w:pBdr>
      </w:pPr>
    </w:p>
    <w:p w14:paraId="40FA51A2" w14:textId="77777777" w:rsidR="002B05AF" w:rsidRDefault="002B05AF">
      <w:pPr>
        <w:spacing w:before="80"/>
      </w:pPr>
    </w:p>
    <w:tbl>
      <w:tblPr>
        <w:tblW w:w="396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968"/>
      </w:tblGrid>
      <w:tr w:rsidR="002B05AF" w14:paraId="3B9532A8" w14:textId="77777777">
        <w:tblPrEx>
          <w:tblCellMar>
            <w:top w:w="0" w:type="dxa"/>
            <w:bottom w:w="0" w:type="dxa"/>
          </w:tblCellMar>
        </w:tblPrEx>
        <w:tc>
          <w:tcPr>
            <w:tcW w:w="3968" w:type="dxa"/>
            <w:shd w:val="clear" w:color="auto" w:fill="FFF7ED"/>
            <w:tcMar>
              <w:top w:w="56" w:type="dxa"/>
              <w:left w:w="113" w:type="dxa"/>
              <w:bottom w:w="56" w:type="dxa"/>
              <w:right w:w="113" w:type="dxa"/>
            </w:tcMar>
            <w:vAlign w:val="center"/>
          </w:tcPr>
          <w:p w14:paraId="5E1A8CB7" w14:textId="77777777" w:rsidR="002B05AF" w:rsidRDefault="00000000">
            <w:r>
              <w:rPr>
                <w:b/>
                <w:bCs/>
                <w:color w:val="924E00"/>
                <w:sz w:val="17"/>
                <w:szCs w:val="17"/>
              </w:rPr>
              <w:t>INITIATIVE 5 — PRIORITY: MEDIUM</w:t>
            </w:r>
          </w:p>
        </w:tc>
      </w:tr>
    </w:tbl>
    <w:p w14:paraId="65C51944" w14:textId="77777777" w:rsidR="002B05AF" w:rsidRDefault="002B05AF">
      <w:pPr>
        <w:spacing w:before="40"/>
      </w:pPr>
    </w:p>
    <w:p w14:paraId="5567356C" w14:textId="77777777" w:rsidR="002B05AF" w:rsidRDefault="00000000">
      <w:pPr>
        <w:spacing w:before="180" w:after="80"/>
      </w:pPr>
      <w:r>
        <w:rPr>
          <w:b/>
          <w:bCs/>
          <w:color w:val="1A2E52"/>
          <w:sz w:val="25"/>
          <w:szCs w:val="25"/>
        </w:rPr>
        <w:t>** Children's Online Privacy Protection Act (COPPA) 2.0 Rule &amp; Legislative Proposals</w:t>
      </w:r>
    </w:p>
    <w:tbl>
      <w:tblPr>
        <w:tblW w:w="9412" w:type="dxa"/>
        <w:tblBorders>
          <w:top w:val="single" w:sz="4" w:space="0" w:color="D0D5DD"/>
          <w:left w:val="single" w:sz="4" w:space="0" w:color="D0D5DD"/>
          <w:bottom w:val="single" w:sz="4" w:space="0" w:color="D0D5DD"/>
          <w:right w:val="single" w:sz="4" w:space="0" w:color="D0D5DD"/>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612"/>
      </w:tblGrid>
      <w:tr w:rsidR="002B05AF" w14:paraId="5871EC99" w14:textId="77777777">
        <w:tblPrEx>
          <w:tblCellMar>
            <w:top w:w="0" w:type="dxa"/>
            <w:bottom w:w="0" w:type="dxa"/>
          </w:tblCellMar>
        </w:tblPrEx>
        <w:tc>
          <w:tcPr>
            <w:tcW w:w="2800" w:type="dxa"/>
            <w:shd w:val="clear" w:color="auto" w:fill="1A2E52"/>
            <w:tcMar>
              <w:top w:w="56" w:type="dxa"/>
              <w:left w:w="113" w:type="dxa"/>
              <w:bottom w:w="56" w:type="dxa"/>
              <w:right w:w="113" w:type="dxa"/>
            </w:tcMar>
          </w:tcPr>
          <w:p w14:paraId="73794367" w14:textId="77777777" w:rsidR="002B05AF" w:rsidRDefault="00000000">
            <w:r>
              <w:rPr>
                <w:b/>
                <w:bCs/>
                <w:color w:val="FFFFFF"/>
                <w:sz w:val="18"/>
                <w:szCs w:val="18"/>
              </w:rPr>
              <w:t>Type</w:t>
            </w:r>
          </w:p>
        </w:tc>
        <w:tc>
          <w:tcPr>
            <w:tcW w:w="6612" w:type="dxa"/>
            <w:shd w:val="clear" w:color="auto" w:fill="FFFFFF"/>
            <w:tcMar>
              <w:top w:w="56" w:type="dxa"/>
              <w:left w:w="113" w:type="dxa"/>
              <w:bottom w:w="56" w:type="dxa"/>
              <w:right w:w="113" w:type="dxa"/>
            </w:tcMar>
          </w:tcPr>
          <w:p w14:paraId="0E1BB816" w14:textId="77777777" w:rsidR="002B05AF" w:rsidRDefault="00000000">
            <w:r>
              <w:rPr>
                <w:color w:val="222222"/>
                <w:sz w:val="18"/>
                <w:szCs w:val="18"/>
              </w:rPr>
              <w:t>** Regulation + Legislation</w:t>
            </w:r>
          </w:p>
        </w:tc>
      </w:tr>
      <w:tr w:rsidR="002B05AF" w14:paraId="5AB48A1F" w14:textId="77777777">
        <w:tblPrEx>
          <w:tblCellMar>
            <w:top w:w="0" w:type="dxa"/>
            <w:bottom w:w="0" w:type="dxa"/>
          </w:tblCellMar>
        </w:tblPrEx>
        <w:tc>
          <w:tcPr>
            <w:tcW w:w="2800" w:type="dxa"/>
            <w:shd w:val="clear" w:color="auto" w:fill="1A2E52"/>
            <w:tcMar>
              <w:top w:w="56" w:type="dxa"/>
              <w:left w:w="113" w:type="dxa"/>
              <w:bottom w:w="56" w:type="dxa"/>
              <w:right w:w="113" w:type="dxa"/>
            </w:tcMar>
          </w:tcPr>
          <w:p w14:paraId="258E83CC" w14:textId="77777777" w:rsidR="002B05AF" w:rsidRDefault="00000000">
            <w:r>
              <w:rPr>
                <w:b/>
                <w:bCs/>
                <w:color w:val="FFFFFF"/>
                <w:sz w:val="18"/>
                <w:szCs w:val="18"/>
              </w:rPr>
              <w:t>Lead Authority</w:t>
            </w:r>
          </w:p>
        </w:tc>
        <w:tc>
          <w:tcPr>
            <w:tcW w:w="6612" w:type="dxa"/>
            <w:shd w:val="clear" w:color="auto" w:fill="F4F6F9"/>
            <w:tcMar>
              <w:top w:w="56" w:type="dxa"/>
              <w:left w:w="113" w:type="dxa"/>
              <w:bottom w:w="56" w:type="dxa"/>
              <w:right w:w="113" w:type="dxa"/>
            </w:tcMar>
          </w:tcPr>
          <w:p w14:paraId="6762F742" w14:textId="77777777" w:rsidR="002B05AF" w:rsidRDefault="00000000">
            <w:r>
              <w:rPr>
                <w:color w:val="222222"/>
                <w:sz w:val="18"/>
                <w:szCs w:val="18"/>
              </w:rPr>
              <w:t>** FTC (final rule); Senate Commerce Committee (legislative proposals)</w:t>
            </w:r>
          </w:p>
        </w:tc>
      </w:tr>
      <w:tr w:rsidR="002B05AF" w14:paraId="74363E85" w14:textId="77777777">
        <w:tblPrEx>
          <w:tblCellMar>
            <w:top w:w="0" w:type="dxa"/>
            <w:bottom w:w="0" w:type="dxa"/>
          </w:tblCellMar>
        </w:tblPrEx>
        <w:tc>
          <w:tcPr>
            <w:tcW w:w="2800" w:type="dxa"/>
            <w:shd w:val="clear" w:color="auto" w:fill="1A2E52"/>
            <w:tcMar>
              <w:top w:w="56" w:type="dxa"/>
              <w:left w:w="113" w:type="dxa"/>
              <w:bottom w:w="56" w:type="dxa"/>
              <w:right w:w="113" w:type="dxa"/>
            </w:tcMar>
          </w:tcPr>
          <w:p w14:paraId="5B23BDB9" w14:textId="77777777" w:rsidR="002B05AF" w:rsidRDefault="00000000">
            <w:r>
              <w:rPr>
                <w:b/>
                <w:bCs/>
                <w:color w:val="FFFFFF"/>
                <w:sz w:val="18"/>
                <w:szCs w:val="18"/>
              </w:rPr>
              <w:t>Status</w:t>
            </w:r>
          </w:p>
        </w:tc>
        <w:tc>
          <w:tcPr>
            <w:tcW w:w="6612" w:type="dxa"/>
            <w:shd w:val="clear" w:color="auto" w:fill="FFFFFF"/>
            <w:tcMar>
              <w:top w:w="56" w:type="dxa"/>
              <w:left w:w="113" w:type="dxa"/>
              <w:bottom w:w="56" w:type="dxa"/>
              <w:right w:w="113" w:type="dxa"/>
            </w:tcMar>
          </w:tcPr>
          <w:p w14:paraId="053242B8" w14:textId="77777777" w:rsidR="002B05AF" w:rsidRDefault="00000000">
            <w:r>
              <w:rPr>
                <w:color w:val="222222"/>
                <w:sz w:val="18"/>
                <w:szCs w:val="18"/>
              </w:rPr>
              <w:t xml:space="preserve">** FTC COPPA Rule amendments </w:t>
            </w:r>
            <w:proofErr w:type="spellStart"/>
            <w:r>
              <w:rPr>
                <w:color w:val="222222"/>
                <w:sz w:val="18"/>
                <w:szCs w:val="18"/>
              </w:rPr>
              <w:t>finalised</w:t>
            </w:r>
            <w:proofErr w:type="spellEnd"/>
            <w:r>
              <w:rPr>
                <w:color w:val="222222"/>
                <w:sz w:val="18"/>
                <w:szCs w:val="18"/>
              </w:rPr>
              <w:t xml:space="preserve"> January 2025; legislative proposals pending</w:t>
            </w:r>
          </w:p>
        </w:tc>
      </w:tr>
      <w:tr w:rsidR="002B05AF" w14:paraId="09F0C815" w14:textId="77777777">
        <w:tblPrEx>
          <w:tblCellMar>
            <w:top w:w="0" w:type="dxa"/>
            <w:bottom w:w="0" w:type="dxa"/>
          </w:tblCellMar>
        </w:tblPrEx>
        <w:tc>
          <w:tcPr>
            <w:tcW w:w="2800" w:type="dxa"/>
            <w:shd w:val="clear" w:color="auto" w:fill="1A2E52"/>
            <w:tcMar>
              <w:top w:w="56" w:type="dxa"/>
              <w:left w:w="113" w:type="dxa"/>
              <w:bottom w:w="56" w:type="dxa"/>
              <w:right w:w="113" w:type="dxa"/>
            </w:tcMar>
          </w:tcPr>
          <w:p w14:paraId="60095E90" w14:textId="77777777" w:rsidR="002B05AF" w:rsidRDefault="00000000">
            <w:r>
              <w:rPr>
                <w:b/>
                <w:bCs/>
                <w:color w:val="FFFFFF"/>
                <w:sz w:val="18"/>
                <w:szCs w:val="18"/>
              </w:rPr>
              <w:t>Key Date</w:t>
            </w:r>
          </w:p>
        </w:tc>
        <w:tc>
          <w:tcPr>
            <w:tcW w:w="6612" w:type="dxa"/>
            <w:shd w:val="clear" w:color="auto" w:fill="F4F6F9"/>
            <w:tcMar>
              <w:top w:w="56" w:type="dxa"/>
              <w:left w:w="113" w:type="dxa"/>
              <w:bottom w:w="56" w:type="dxa"/>
              <w:right w:w="113" w:type="dxa"/>
            </w:tcMar>
          </w:tcPr>
          <w:p w14:paraId="627DAA07" w14:textId="77777777" w:rsidR="002B05AF" w:rsidRDefault="00000000">
            <w:r>
              <w:rPr>
                <w:color w:val="222222"/>
                <w:sz w:val="18"/>
                <w:szCs w:val="18"/>
              </w:rPr>
              <w:t>** FTC final amendments effective April 22, 2025</w:t>
            </w:r>
          </w:p>
        </w:tc>
      </w:tr>
    </w:tbl>
    <w:p w14:paraId="75387291" w14:textId="77777777" w:rsidR="002B05AF" w:rsidRDefault="002B05AF">
      <w:pPr>
        <w:spacing w:before="80"/>
      </w:pPr>
    </w:p>
    <w:p w14:paraId="11901393" w14:textId="77777777" w:rsidR="002B05AF" w:rsidRDefault="00000000">
      <w:pPr>
        <w:spacing w:before="80" w:after="40"/>
      </w:pPr>
      <w:r>
        <w:rPr>
          <w:b/>
          <w:bCs/>
          <w:color w:val="1A2E52"/>
          <w:sz w:val="21"/>
          <w:szCs w:val="21"/>
        </w:rPr>
        <w:t>What it does</w:t>
      </w:r>
    </w:p>
    <w:p w14:paraId="5F4B9B48" w14:textId="77777777" w:rsidR="002B05AF" w:rsidRDefault="00000000">
      <w:pPr>
        <w:spacing w:before="40" w:after="80"/>
      </w:pPr>
      <w:r>
        <w:rPr>
          <w:color w:val="222222"/>
        </w:rPr>
        <w:t xml:space="preserve">The FTC </w:t>
      </w:r>
      <w:proofErr w:type="spellStart"/>
      <w:r>
        <w:rPr>
          <w:color w:val="222222"/>
        </w:rPr>
        <w:t>finalised</w:t>
      </w:r>
      <w:proofErr w:type="spellEnd"/>
      <w:r>
        <w:rPr>
          <w:color w:val="222222"/>
        </w:rPr>
        <w:t xml:space="preserve"> amendments to its COPPA Rule in January 2025, expanding protections for children under 13 and introducing new requirements around push notifications, data retention limits, and parental consent mechanisms. Separately, Congress continues to advance COPPA 2.0 legislative proposals that would extend </w:t>
      </w:r>
      <w:proofErr w:type="gramStart"/>
      <w:r>
        <w:rPr>
          <w:color w:val="222222"/>
        </w:rPr>
        <w:t>protections</w:t>
      </w:r>
      <w:proofErr w:type="gramEnd"/>
      <w:r>
        <w:rPr>
          <w:color w:val="222222"/>
        </w:rPr>
        <w:t xml:space="preserve"> to teens under 17 and impose stricter limits on </w:t>
      </w:r>
      <w:proofErr w:type="spellStart"/>
      <w:r>
        <w:rPr>
          <w:color w:val="222222"/>
        </w:rPr>
        <w:t>behavioural</w:t>
      </w:r>
      <w:proofErr w:type="spellEnd"/>
      <w:r>
        <w:rPr>
          <w:color w:val="222222"/>
        </w:rPr>
        <w:t xml:space="preserve"> advertising targeting minors. The FTC rule is in force; the legislative version remains in committee but has bipartisan support.</w:t>
      </w:r>
    </w:p>
    <w:p w14:paraId="729111CA" w14:textId="77777777" w:rsidR="002B05AF" w:rsidRDefault="00000000">
      <w:pPr>
        <w:spacing w:before="60" w:after="40"/>
      </w:pPr>
      <w:r>
        <w:rPr>
          <w:b/>
          <w:bCs/>
          <w:color w:val="1A2E52"/>
          <w:sz w:val="21"/>
          <w:szCs w:val="21"/>
        </w:rPr>
        <w:t>Relevance to objectives</w:t>
      </w:r>
    </w:p>
    <w:p w14:paraId="42645D28" w14:textId="77777777" w:rsidR="002B05AF" w:rsidRDefault="00000000">
      <w:pPr>
        <w:spacing w:before="40" w:after="80"/>
      </w:pPr>
      <w:r>
        <w:rPr>
          <w:color w:val="222222"/>
        </w:rPr>
        <w:t>Intel's consumer hardware products — including devices sold for educational use and gaming — may be used by children, and Intel's software/AI services embedded in third-party platforms could trigger COPPA obligations depending on how "directed to children" is interpreted. Edge AI processors used in connected toys or educational devices are particularly exposed.</w:t>
      </w:r>
    </w:p>
    <w:p w14:paraId="1F569B3A" w14:textId="77777777" w:rsidR="002B05AF" w:rsidRDefault="00000000">
      <w:pPr>
        <w:spacing w:before="60" w:after="40"/>
      </w:pPr>
      <w:r>
        <w:rPr>
          <w:b/>
          <w:bCs/>
          <w:color w:val="1A2E52"/>
          <w:sz w:val="21"/>
          <w:szCs w:val="21"/>
        </w:rPr>
        <w:t>Why it matters</w:t>
      </w:r>
    </w:p>
    <w:p w14:paraId="588DD5C9" w14:textId="77777777" w:rsidR="002B05AF" w:rsidRDefault="00000000">
      <w:pPr>
        <w:spacing w:before="40" w:after="80"/>
      </w:pPr>
      <w:r>
        <w:rPr>
          <w:color w:val="222222"/>
        </w:rPr>
        <w:t xml:space="preserve">COPPA violations carry significant per-violation civil penalties. The FTC has </w:t>
      </w:r>
      <w:proofErr w:type="spellStart"/>
      <w:r>
        <w:rPr>
          <w:color w:val="222222"/>
        </w:rPr>
        <w:t>signalled</w:t>
      </w:r>
      <w:proofErr w:type="spellEnd"/>
      <w:r>
        <w:rPr>
          <w:color w:val="222222"/>
        </w:rPr>
        <w:t xml:space="preserve"> continued aggressive enforcement in this area regardless of broader deregulatory trends, making children's data one of the most reliably enforced areas of U.S. privacy law.</w:t>
      </w:r>
    </w:p>
    <w:p w14:paraId="544F786E" w14:textId="77777777" w:rsidR="002B05AF" w:rsidRDefault="00000000">
      <w:pPr>
        <w:spacing w:before="60" w:after="40"/>
      </w:pPr>
      <w:r>
        <w:rPr>
          <w:b/>
          <w:bCs/>
          <w:color w:val="1A2E52"/>
          <w:sz w:val="21"/>
          <w:szCs w:val="21"/>
        </w:rPr>
        <w:t>Implications</w:t>
      </w:r>
    </w:p>
    <w:p w14:paraId="07CBE9D5" w14:textId="77777777" w:rsidR="002B05AF" w:rsidRDefault="00000000">
      <w:pPr>
        <w:spacing w:before="40" w:after="80"/>
      </w:pPr>
      <w:r>
        <w:rPr>
          <w:color w:val="222222"/>
        </w:rPr>
        <w:t xml:space="preserve">Intel must audit which of its products and services could be deemed directed to children or likely to be used by minors, and ensure data </w:t>
      </w:r>
      <w:proofErr w:type="spellStart"/>
      <w:r>
        <w:rPr>
          <w:color w:val="222222"/>
        </w:rPr>
        <w:t>minimisation</w:t>
      </w:r>
      <w:proofErr w:type="spellEnd"/>
      <w:r>
        <w:rPr>
          <w:color w:val="222222"/>
        </w:rPr>
        <w:t>, retention, and parental consent mechanisms are compliant with the updated rule. Partner and customer agreements should be reviewed to allocate COPPA liability appropriately.</w:t>
      </w:r>
    </w:p>
    <w:tbl>
      <w:tblPr>
        <w:tblW w:w="9412" w:type="dxa"/>
        <w:tblBorders>
          <w:top w:val="single" w:sz="16" w:space="0" w:color="F7941D"/>
          <w:left w:val="single" w:sz="16" w:space="0" w:color="F7941D"/>
          <w:bottom w:val="single" w:sz="4" w:space="0" w:color="EEEEEE"/>
          <w:right w:val="single" w:sz="4" w:space="0" w:color="EEEEEE"/>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12"/>
      </w:tblGrid>
      <w:tr w:rsidR="002B05AF" w14:paraId="3C1B6DDC" w14:textId="77777777">
        <w:tblPrEx>
          <w:tblCellMar>
            <w:top w:w="0" w:type="dxa"/>
            <w:bottom w:w="0" w:type="dxa"/>
          </w:tblCellMar>
        </w:tblPrEx>
        <w:tc>
          <w:tcPr>
            <w:tcW w:w="9412" w:type="dxa"/>
            <w:shd w:val="clear" w:color="auto" w:fill="FFF0CC"/>
            <w:tcMar>
              <w:top w:w="113" w:type="dxa"/>
              <w:left w:w="226" w:type="dxa"/>
              <w:bottom w:w="113" w:type="dxa"/>
              <w:right w:w="226" w:type="dxa"/>
            </w:tcMar>
          </w:tcPr>
          <w:p w14:paraId="34D64A00" w14:textId="77777777" w:rsidR="002B05AF" w:rsidRDefault="00000000">
            <w:pPr>
              <w:spacing w:after="60"/>
            </w:pPr>
            <w:r>
              <w:rPr>
                <w:b/>
                <w:bCs/>
                <w:color w:val="1A2E52"/>
              </w:rPr>
              <w:t xml:space="preserve">Recommended action: </w:t>
            </w:r>
          </w:p>
          <w:p w14:paraId="1BE1AFA1" w14:textId="77777777" w:rsidR="002B05AF" w:rsidRDefault="00000000">
            <w:pPr>
              <w:spacing w:after="60"/>
            </w:pPr>
            <w:r>
              <w:rPr>
                <w:color w:val="1A2E52"/>
              </w:rPr>
              <w:t>▶ ENGAGE NOW — Review product line exposure to updated COPPA Rule; engage with the FTC's public comment process on any further COPPA guidance and advocate for workable definitions of "mixed audience" platforms relevant to hardware manufacturers.</w:t>
            </w:r>
          </w:p>
        </w:tc>
      </w:tr>
    </w:tbl>
    <w:p w14:paraId="03525782" w14:textId="77777777" w:rsidR="002B05AF" w:rsidRDefault="002B05AF">
      <w:pPr>
        <w:spacing w:before="60"/>
      </w:pPr>
    </w:p>
    <w:p w14:paraId="08F3CDC1" w14:textId="77777777" w:rsidR="002B05AF" w:rsidRDefault="00000000">
      <w:pPr>
        <w:spacing w:before="40" w:after="20"/>
      </w:pPr>
      <w:r>
        <w:rPr>
          <w:b/>
          <w:bCs/>
          <w:color w:val="777777"/>
          <w:sz w:val="18"/>
          <w:szCs w:val="18"/>
        </w:rPr>
        <w:t>Sources</w:t>
      </w:r>
    </w:p>
    <w:p w14:paraId="0C290916" w14:textId="77777777" w:rsidR="002B05AF" w:rsidRDefault="00000000">
      <w:pPr>
        <w:spacing w:after="20"/>
      </w:pPr>
      <w:r>
        <w:rPr>
          <w:color w:val="444444"/>
          <w:sz w:val="18"/>
          <w:szCs w:val="18"/>
        </w:rPr>
        <w:t xml:space="preserve">• </w:t>
      </w:r>
      <w:hyperlink r:id="rId17" w:history="1">
        <w:r>
          <w:rPr>
            <w:color w:val="1A56A0"/>
            <w:sz w:val="18"/>
            <w:szCs w:val="18"/>
            <w:u w:val="single"/>
          </w:rPr>
          <w:t>FTC — Updated COPPA Rule — January 2025</w:t>
        </w:r>
      </w:hyperlink>
    </w:p>
    <w:p w14:paraId="1D4E3C4B" w14:textId="77777777" w:rsidR="002B05AF" w:rsidRDefault="00000000">
      <w:pPr>
        <w:spacing w:after="20"/>
      </w:pPr>
      <w:r>
        <w:rPr>
          <w:color w:val="444444"/>
          <w:sz w:val="18"/>
          <w:szCs w:val="18"/>
        </w:rPr>
        <w:t xml:space="preserve">• </w:t>
      </w:r>
      <w:hyperlink r:id="rId18" w:history="1">
        <w:r>
          <w:rPr>
            <w:color w:val="1A56A0"/>
            <w:sz w:val="18"/>
            <w:szCs w:val="18"/>
            <w:u w:val="single"/>
          </w:rPr>
          <w:t>Federal Register — COPPA Rule Amendments — 2025</w:t>
        </w:r>
      </w:hyperlink>
    </w:p>
    <w:p w14:paraId="5D6BD360" w14:textId="77777777" w:rsidR="002B05AF" w:rsidRDefault="00000000">
      <w:pPr>
        <w:spacing w:after="20"/>
      </w:pPr>
      <w:r>
        <w:rPr>
          <w:color w:val="444444"/>
          <w:sz w:val="18"/>
          <w:szCs w:val="18"/>
        </w:rPr>
        <w:t xml:space="preserve">• </w:t>
      </w:r>
      <w:hyperlink r:id="rId19" w:history="1">
        <w:r>
          <w:rPr>
            <w:color w:val="1A56A0"/>
            <w:sz w:val="18"/>
            <w:szCs w:val="18"/>
            <w:u w:val="single"/>
          </w:rPr>
          <w:t>Senate Commerce Committee — COPPA 2.0 Legislative Status</w:t>
        </w:r>
      </w:hyperlink>
    </w:p>
    <w:p w14:paraId="0C9903C9" w14:textId="77777777" w:rsidR="002B05AF" w:rsidRDefault="002B05AF">
      <w:pPr>
        <w:spacing w:before="80"/>
      </w:pPr>
    </w:p>
    <w:p w14:paraId="6532FDCD" w14:textId="77777777" w:rsidR="002B05AF" w:rsidRDefault="002B05AF">
      <w:pPr>
        <w:pBdr>
          <w:bottom w:val="single" w:sz="4" w:space="0" w:color="E0E4EA"/>
        </w:pBdr>
      </w:pPr>
    </w:p>
    <w:p w14:paraId="703F7BC2" w14:textId="77777777" w:rsidR="002B05AF" w:rsidRDefault="002B05AF">
      <w:pPr>
        <w:spacing w:before="160"/>
      </w:pPr>
    </w:p>
    <w:p w14:paraId="167B0562" w14:textId="11C50009" w:rsidR="002B05AF" w:rsidRDefault="002B05AF"/>
    <w:tbl>
      <w:tblPr>
        <w:tblW w:w="9412" w:type="dxa"/>
        <w:tblBorders>
          <w:top w:val="single" w:sz="16" w:space="0" w:color="F7941D"/>
          <w:left w:val="single" w:sz="16" w:space="0" w:color="F7941D"/>
          <w:bottom w:val="single" w:sz="16" w:space="0" w:color="F7941D"/>
          <w:right w:val="single" w:sz="16" w:space="0" w:color="F7941D"/>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12"/>
      </w:tblGrid>
      <w:tr w:rsidR="002B05AF" w14:paraId="45D067C4" w14:textId="77777777">
        <w:tblPrEx>
          <w:tblCellMar>
            <w:top w:w="0" w:type="dxa"/>
            <w:bottom w:w="0" w:type="dxa"/>
          </w:tblCellMar>
        </w:tblPrEx>
        <w:tc>
          <w:tcPr>
            <w:tcW w:w="9412" w:type="dxa"/>
            <w:shd w:val="clear" w:color="auto" w:fill="1A2E52"/>
            <w:tcMar>
              <w:top w:w="226" w:type="dxa"/>
              <w:left w:w="340" w:type="dxa"/>
              <w:bottom w:w="226" w:type="dxa"/>
              <w:right w:w="340" w:type="dxa"/>
            </w:tcMar>
          </w:tcPr>
          <w:p w14:paraId="088A3761" w14:textId="77777777" w:rsidR="002B05AF" w:rsidRDefault="00000000">
            <w:pPr>
              <w:spacing w:after="60"/>
            </w:pPr>
            <w:r>
              <w:rPr>
                <w:b/>
                <w:bCs/>
                <w:color w:val="F7941D"/>
                <w:sz w:val="18"/>
                <w:szCs w:val="18"/>
              </w:rPr>
              <w:t>ABOUT THIS SAMPLE</w:t>
            </w:r>
          </w:p>
          <w:p w14:paraId="397B2F3F" w14:textId="77777777" w:rsidR="002B05AF" w:rsidRDefault="00000000">
            <w:r>
              <w:rPr>
                <w:color w:val="FFFFFF"/>
              </w:rPr>
              <w:t xml:space="preserve">The document above is a representative sample of the output produced by the Policy Monitoring Agent on the Pugatch Consilium AI for Policy platform. In real use, documents carry no Pugatch Consilium branding — they are produced in your </w:t>
            </w:r>
            <w:proofErr w:type="spellStart"/>
            <w:r>
              <w:rPr>
                <w:color w:val="FFFFFF"/>
              </w:rPr>
              <w:t>organisation's</w:t>
            </w:r>
            <w:proofErr w:type="spellEnd"/>
            <w:r>
              <w:rPr>
                <w:color w:val="FFFFFF"/>
              </w:rPr>
              <w:t xml:space="preserve"> name, as your work product. As with all AI-generated outputs, documents should be reviewed by a qualified professional before submission or use.</w:t>
            </w:r>
          </w:p>
        </w:tc>
      </w:tr>
    </w:tbl>
    <w:p w14:paraId="6729A8E9" w14:textId="77777777" w:rsidR="002B05AF" w:rsidRDefault="002B05AF">
      <w:pPr>
        <w:spacing w:before="200"/>
      </w:pPr>
    </w:p>
    <w:p w14:paraId="4441E343" w14:textId="77777777" w:rsidR="002B05AF" w:rsidRDefault="00000000">
      <w:pPr>
        <w:spacing w:after="80"/>
      </w:pPr>
      <w:r>
        <w:rPr>
          <w:b/>
          <w:bCs/>
          <w:color w:val="1A2E52"/>
          <w:sz w:val="21"/>
          <w:szCs w:val="21"/>
        </w:rPr>
        <w:t>Pugatch Consilium AI for Policy includes:</w:t>
      </w:r>
    </w:p>
    <w:p w14:paraId="2EB85B68" w14:textId="77777777" w:rsidR="002B05AF" w:rsidRDefault="00000000">
      <w:pPr>
        <w:pStyle w:val="ListParagraph"/>
        <w:numPr>
          <w:ilvl w:val="0"/>
          <w:numId w:val="1"/>
        </w:numPr>
        <w:spacing w:after="60"/>
      </w:pPr>
      <w:r>
        <w:rPr>
          <w:color w:val="222222"/>
        </w:rPr>
        <w:t>Policy Advocacy Agent — full 8-stage campaign strategy and planning</w:t>
      </w:r>
    </w:p>
    <w:p w14:paraId="719764FE" w14:textId="77777777" w:rsidR="002B05AF" w:rsidRDefault="00000000">
      <w:pPr>
        <w:pStyle w:val="ListParagraph"/>
        <w:numPr>
          <w:ilvl w:val="0"/>
          <w:numId w:val="1"/>
        </w:numPr>
        <w:spacing w:after="60"/>
      </w:pPr>
      <w:r>
        <w:rPr>
          <w:color w:val="222222"/>
        </w:rPr>
        <w:t>Position Paper Agent — research-grounded advocacy documents in any language</w:t>
      </w:r>
    </w:p>
    <w:p w14:paraId="580A57A9" w14:textId="77777777" w:rsidR="002B05AF" w:rsidRDefault="00000000">
      <w:pPr>
        <w:pStyle w:val="ListParagraph"/>
        <w:numPr>
          <w:ilvl w:val="0"/>
          <w:numId w:val="1"/>
        </w:numPr>
        <w:spacing w:after="60"/>
      </w:pPr>
      <w:r>
        <w:rPr>
          <w:color w:val="222222"/>
        </w:rPr>
        <w:t>Decision-Maker Intelligence Agent — verified stakeholder profiles across 13 markets</w:t>
      </w:r>
    </w:p>
    <w:p w14:paraId="1FD1E41C" w14:textId="77777777" w:rsidR="002B05AF" w:rsidRDefault="00000000">
      <w:pPr>
        <w:pStyle w:val="ListParagraph"/>
        <w:numPr>
          <w:ilvl w:val="0"/>
          <w:numId w:val="1"/>
        </w:numPr>
        <w:spacing w:after="60"/>
      </w:pPr>
      <w:r>
        <w:rPr>
          <w:color w:val="222222"/>
        </w:rPr>
        <w:t>Policy Monitoring Agent — real-time tracking of legislative developments</w:t>
      </w:r>
    </w:p>
    <w:p w14:paraId="5228C75C" w14:textId="77777777" w:rsidR="002B05AF" w:rsidRDefault="00000000">
      <w:pPr>
        <w:pStyle w:val="ListParagraph"/>
        <w:numPr>
          <w:ilvl w:val="0"/>
          <w:numId w:val="1"/>
        </w:numPr>
        <w:spacing w:after="60"/>
      </w:pPr>
      <w:r>
        <w:rPr>
          <w:color w:val="222222"/>
        </w:rPr>
        <w:t xml:space="preserve">Pathfinder Agent — market entry strategy and regulatory </w:t>
      </w:r>
      <w:proofErr w:type="spellStart"/>
      <w:r>
        <w:rPr>
          <w:color w:val="222222"/>
        </w:rPr>
        <w:t>roadmapping</w:t>
      </w:r>
      <w:proofErr w:type="spellEnd"/>
    </w:p>
    <w:p w14:paraId="0174EF50" w14:textId="77777777" w:rsidR="002B05AF" w:rsidRDefault="002B05AF">
      <w:pPr>
        <w:spacing w:before="120"/>
      </w:pPr>
    </w:p>
    <w:p w14:paraId="7E0D9033" w14:textId="77777777" w:rsidR="002B05AF" w:rsidRDefault="00000000">
      <w:r>
        <w:rPr>
          <w:b/>
          <w:bCs/>
          <w:color w:val="1A2E52"/>
        </w:rPr>
        <w:t>Learn more at pugatch-consilium.com</w:t>
      </w:r>
    </w:p>
    <w:sectPr w:rsidR="002B05AF">
      <w:pgSz w:w="11906" w:h="16838"/>
      <w:pgMar w:top="1133" w:right="1247" w:bottom="1133" w:left="1247"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6527E"/>
    <w:multiLevelType w:val="hybridMultilevel"/>
    <w:tmpl w:val="EAAEC942"/>
    <w:lvl w:ilvl="0" w:tplc="7F2678B8">
      <w:start w:val="1"/>
      <w:numFmt w:val="bullet"/>
      <w:lvlText w:val="●"/>
      <w:lvlJc w:val="left"/>
      <w:pPr>
        <w:ind w:left="720" w:hanging="360"/>
      </w:pPr>
    </w:lvl>
    <w:lvl w:ilvl="1" w:tplc="A078C25C">
      <w:start w:val="1"/>
      <w:numFmt w:val="bullet"/>
      <w:lvlText w:val="○"/>
      <w:lvlJc w:val="left"/>
      <w:pPr>
        <w:ind w:left="1440" w:hanging="360"/>
      </w:pPr>
    </w:lvl>
    <w:lvl w:ilvl="2" w:tplc="C70A46FA">
      <w:start w:val="1"/>
      <w:numFmt w:val="bullet"/>
      <w:lvlText w:val="■"/>
      <w:lvlJc w:val="left"/>
      <w:pPr>
        <w:ind w:left="2160" w:hanging="360"/>
      </w:pPr>
    </w:lvl>
    <w:lvl w:ilvl="3" w:tplc="3DFEAAD4">
      <w:start w:val="1"/>
      <w:numFmt w:val="bullet"/>
      <w:lvlText w:val="●"/>
      <w:lvlJc w:val="left"/>
      <w:pPr>
        <w:ind w:left="2880" w:hanging="360"/>
      </w:pPr>
    </w:lvl>
    <w:lvl w:ilvl="4" w:tplc="F9223B62">
      <w:start w:val="1"/>
      <w:numFmt w:val="bullet"/>
      <w:lvlText w:val="○"/>
      <w:lvlJc w:val="left"/>
      <w:pPr>
        <w:ind w:left="3600" w:hanging="360"/>
      </w:pPr>
    </w:lvl>
    <w:lvl w:ilvl="5" w:tplc="A6B4C1B2">
      <w:start w:val="1"/>
      <w:numFmt w:val="bullet"/>
      <w:lvlText w:val="■"/>
      <w:lvlJc w:val="left"/>
      <w:pPr>
        <w:ind w:left="4320" w:hanging="360"/>
      </w:pPr>
    </w:lvl>
    <w:lvl w:ilvl="6" w:tplc="4EEAC4DC">
      <w:start w:val="1"/>
      <w:numFmt w:val="bullet"/>
      <w:lvlText w:val="●"/>
      <w:lvlJc w:val="left"/>
      <w:pPr>
        <w:ind w:left="5040" w:hanging="360"/>
      </w:pPr>
    </w:lvl>
    <w:lvl w:ilvl="7" w:tplc="CE30BF38">
      <w:start w:val="1"/>
      <w:numFmt w:val="bullet"/>
      <w:lvlText w:val="●"/>
      <w:lvlJc w:val="left"/>
      <w:pPr>
        <w:ind w:left="5760" w:hanging="360"/>
      </w:pPr>
    </w:lvl>
    <w:lvl w:ilvl="8" w:tplc="3A16C062">
      <w:start w:val="1"/>
      <w:numFmt w:val="bullet"/>
      <w:lvlText w:val="●"/>
      <w:lvlJc w:val="left"/>
      <w:pPr>
        <w:ind w:left="6480" w:hanging="360"/>
      </w:pPr>
    </w:lvl>
  </w:abstractNum>
  <w:num w:numId="1" w16cid:durableId="1997862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5AF"/>
    <w:rsid w:val="000433B2"/>
    <w:rsid w:val="002B05AF"/>
    <w:rsid w:val="00C441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982C6"/>
  <w15:docId w15:val="{D5C42195-3714-422A-B41D-DF1F5129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color w:val="2E74B5"/>
      <w:sz w:val="32"/>
      <w:szCs w:val="32"/>
    </w:rPr>
  </w:style>
  <w:style w:type="paragraph" w:styleId="Heading2">
    <w:name w:val="heading 2"/>
    <w:basedOn w:val="Normal"/>
    <w:next w:val="Normal"/>
    <w:uiPriority w:val="9"/>
    <w:semiHidden/>
    <w:unhideWhenUsed/>
    <w:qFormat/>
    <w:pPr>
      <w:outlineLvl w:val="1"/>
    </w:pPr>
    <w:rPr>
      <w:color w:val="2E74B5"/>
      <w:sz w:val="26"/>
      <w:szCs w:val="26"/>
    </w:rPr>
  </w:style>
  <w:style w:type="paragraph" w:styleId="Heading3">
    <w:name w:val="heading 3"/>
    <w:basedOn w:val="Normal"/>
    <w:next w:val="Normal"/>
    <w:uiPriority w:val="9"/>
    <w:semiHidden/>
    <w:unhideWhenUsed/>
    <w:qFormat/>
    <w:pPr>
      <w:outlineLvl w:val="2"/>
    </w:pPr>
    <w:rPr>
      <w:color w:val="1F4D78"/>
      <w:sz w:val="24"/>
      <w:szCs w:val="24"/>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tc.gov/legal-library/browse/rules/commercial-surveillance-rulemaking" TargetMode="External"/><Relationship Id="rId13" Type="http://schemas.openxmlformats.org/officeDocument/2006/relationships/hyperlink" Target="https://justice.gov/nsd" TargetMode="External"/><Relationship Id="rId18" Type="http://schemas.openxmlformats.org/officeDocument/2006/relationships/hyperlink" Target="https://federalregister.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ongress.gov" TargetMode="External"/><Relationship Id="rId12" Type="http://schemas.openxmlformats.org/officeDocument/2006/relationships/hyperlink" Target="https://federalregister.gov" TargetMode="External"/><Relationship Id="rId17" Type="http://schemas.openxmlformats.org/officeDocument/2006/relationships/hyperlink" Target="https://ftc.gov/legal-library/browse/rules/childrens-online-privacy-protection-rule" TargetMode="External"/><Relationship Id="rId2" Type="http://schemas.openxmlformats.org/officeDocument/2006/relationships/styles" Target="styles.xml"/><Relationship Id="rId16" Type="http://schemas.openxmlformats.org/officeDocument/2006/relationships/hyperlink" Target="https://revisor.mn.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app.org" TargetMode="External"/><Relationship Id="rId11" Type="http://schemas.openxmlformats.org/officeDocument/2006/relationships/hyperlink" Target="https://justice.gov/nsd/bulk-data" TargetMode="External"/><Relationship Id="rId5" Type="http://schemas.openxmlformats.org/officeDocument/2006/relationships/hyperlink" Target="https://energycommerce.house.gov" TargetMode="External"/><Relationship Id="rId15" Type="http://schemas.openxmlformats.org/officeDocument/2006/relationships/hyperlink" Target="https://mgaleg.maryland.gov" TargetMode="External"/><Relationship Id="rId10" Type="http://schemas.openxmlformats.org/officeDocument/2006/relationships/hyperlink" Target="https://federalregister.gov" TargetMode="External"/><Relationship Id="rId19" Type="http://schemas.openxmlformats.org/officeDocument/2006/relationships/hyperlink" Target="https://commerce.senate.gov" TargetMode="External"/><Relationship Id="rId4" Type="http://schemas.openxmlformats.org/officeDocument/2006/relationships/webSettings" Target="webSettings.xml"/><Relationship Id="rId9" Type="http://schemas.openxmlformats.org/officeDocument/2006/relationships/hyperlink" Target="https://iapp.org" TargetMode="External"/><Relationship Id="rId14" Type="http://schemas.openxmlformats.org/officeDocument/2006/relationships/hyperlink" Target="https://iapp.org/resources/article/us-state-privacy-legislation-trac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2622</Words>
  <Characters>13114</Characters>
  <Application>Microsoft Office Word</Application>
  <DocSecurity>0</DocSecurity>
  <Lines>109</Lines>
  <Paragraphs>31</Paragraphs>
  <ScaleCrop>false</ScaleCrop>
  <Company/>
  <LinksUpToDate>false</LinksUpToDate>
  <CharactersWithSpaces>15705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Yoav Shechter</cp:lastModifiedBy>
  <cp:revision>2</cp:revision>
  <dcterms:created xsi:type="dcterms:W3CDTF">2026-04-19T14:43:00Z</dcterms:created>
  <dcterms:modified xsi:type="dcterms:W3CDTF">2026-04-19T14:43:00Z</dcterms:modified>
</cp:coreProperties>
</file>